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819B5" w14:textId="3A314F2D" w:rsidR="00CC55DF" w:rsidRPr="00F837C2" w:rsidRDefault="00F837C2" w:rsidP="00037633">
      <w:pPr>
        <w:spacing w:before="0" w:after="0" w:line="240" w:lineRule="auto"/>
        <w:jc w:val="center"/>
        <w:rPr>
          <w:rFonts w:ascii="Times New Roman" w:hAnsi="Times New Roman"/>
          <w:b/>
          <w:sz w:val="28"/>
          <w:lang w:val="sr-Latn-BA"/>
        </w:rPr>
      </w:pPr>
      <w:r w:rsidRPr="00F837C2">
        <w:rPr>
          <w:rFonts w:ascii="Times New Roman" w:hAnsi="Times New Roman"/>
          <w:b/>
          <w:sz w:val="28"/>
          <w:lang w:val="sr-Latn-BA"/>
        </w:rPr>
        <w:t>KOMISIJA</w:t>
      </w:r>
      <w:r w:rsidR="006E6A02" w:rsidRPr="00F837C2">
        <w:rPr>
          <w:rFonts w:ascii="Times New Roman" w:hAnsi="Times New Roman"/>
          <w:b/>
          <w:sz w:val="28"/>
          <w:lang w:val="sr-Latn-BA"/>
        </w:rPr>
        <w:t xml:space="preserve"> </w:t>
      </w:r>
      <w:r w:rsidRPr="00F837C2">
        <w:rPr>
          <w:rFonts w:ascii="Times New Roman" w:hAnsi="Times New Roman"/>
          <w:b/>
          <w:sz w:val="28"/>
          <w:lang w:val="sr-Latn-BA"/>
        </w:rPr>
        <w:t>ZA</w:t>
      </w:r>
      <w:r w:rsidR="006E6A02" w:rsidRPr="00F837C2">
        <w:rPr>
          <w:rFonts w:ascii="Times New Roman" w:hAnsi="Times New Roman"/>
          <w:b/>
          <w:sz w:val="28"/>
          <w:lang w:val="sr-Latn-BA"/>
        </w:rPr>
        <w:t xml:space="preserve"> </w:t>
      </w:r>
      <w:r w:rsidRPr="00F837C2">
        <w:rPr>
          <w:rFonts w:ascii="Times New Roman" w:hAnsi="Times New Roman"/>
          <w:b/>
          <w:sz w:val="28"/>
          <w:lang w:val="sr-Latn-BA"/>
        </w:rPr>
        <w:t>HARTIJE</w:t>
      </w:r>
      <w:r w:rsidR="006E6A02" w:rsidRPr="00F837C2">
        <w:rPr>
          <w:rFonts w:ascii="Times New Roman" w:hAnsi="Times New Roman"/>
          <w:b/>
          <w:sz w:val="28"/>
          <w:lang w:val="sr-Latn-BA"/>
        </w:rPr>
        <w:t xml:space="preserve"> </w:t>
      </w:r>
      <w:r w:rsidRPr="00F837C2">
        <w:rPr>
          <w:rFonts w:ascii="Times New Roman" w:hAnsi="Times New Roman"/>
          <w:b/>
          <w:sz w:val="28"/>
          <w:lang w:val="sr-Latn-BA"/>
        </w:rPr>
        <w:t>OD</w:t>
      </w:r>
      <w:r w:rsidR="006E6A02" w:rsidRPr="00F837C2">
        <w:rPr>
          <w:rFonts w:ascii="Times New Roman" w:hAnsi="Times New Roman"/>
          <w:b/>
          <w:sz w:val="28"/>
          <w:lang w:val="sr-Latn-BA"/>
        </w:rPr>
        <w:t xml:space="preserve"> </w:t>
      </w:r>
      <w:r w:rsidRPr="00F837C2">
        <w:rPr>
          <w:rFonts w:ascii="Times New Roman" w:hAnsi="Times New Roman"/>
          <w:b/>
          <w:sz w:val="28"/>
          <w:lang w:val="sr-Latn-BA"/>
        </w:rPr>
        <w:t>VRIJEDNOSTI</w:t>
      </w:r>
    </w:p>
    <w:p w14:paraId="614F1389" w14:textId="42915CEF" w:rsidR="006E6A02" w:rsidRPr="00F837C2" w:rsidRDefault="00F837C2" w:rsidP="00037633">
      <w:pPr>
        <w:spacing w:before="0" w:after="0" w:line="240" w:lineRule="auto"/>
        <w:jc w:val="center"/>
        <w:rPr>
          <w:rFonts w:ascii="Times New Roman" w:hAnsi="Times New Roman"/>
          <w:b/>
          <w:sz w:val="28"/>
          <w:lang w:val="sr-Latn-BA"/>
        </w:rPr>
      </w:pPr>
      <w:r w:rsidRPr="00F837C2">
        <w:rPr>
          <w:rFonts w:ascii="Times New Roman" w:hAnsi="Times New Roman"/>
          <w:b/>
          <w:sz w:val="28"/>
          <w:lang w:val="sr-Latn-BA"/>
        </w:rPr>
        <w:t>REPUBLIKE</w:t>
      </w:r>
      <w:r w:rsidR="006E6A02" w:rsidRPr="00F837C2">
        <w:rPr>
          <w:rFonts w:ascii="Times New Roman" w:hAnsi="Times New Roman"/>
          <w:b/>
          <w:sz w:val="28"/>
          <w:lang w:val="sr-Latn-BA"/>
        </w:rPr>
        <w:t xml:space="preserve"> </w:t>
      </w:r>
      <w:r w:rsidRPr="00F837C2">
        <w:rPr>
          <w:rFonts w:ascii="Times New Roman" w:hAnsi="Times New Roman"/>
          <w:b/>
          <w:sz w:val="28"/>
          <w:lang w:val="sr-Latn-BA"/>
        </w:rPr>
        <w:t>SRPSKE</w:t>
      </w:r>
    </w:p>
    <w:p w14:paraId="31AD665B" w14:textId="77777777" w:rsidR="006E6A02" w:rsidRPr="00F837C2" w:rsidRDefault="006E6A02" w:rsidP="00037633">
      <w:pPr>
        <w:spacing w:before="0" w:after="0" w:line="240" w:lineRule="auto"/>
        <w:jc w:val="center"/>
        <w:rPr>
          <w:rFonts w:ascii="Cambria" w:hAnsi="Cambria"/>
          <w:b/>
          <w:lang w:val="sr-Latn-BA"/>
        </w:rPr>
      </w:pPr>
    </w:p>
    <w:p w14:paraId="643C8700" w14:textId="77777777" w:rsidR="006E6A02" w:rsidRPr="00F837C2" w:rsidRDefault="006E6A02" w:rsidP="00037633">
      <w:pPr>
        <w:pStyle w:val="NoSpacing"/>
        <w:jc w:val="center"/>
        <w:rPr>
          <w:rFonts w:ascii="Cambria" w:hAnsi="Cambria"/>
          <w:b/>
          <w:bCs/>
          <w:lang w:val="sr-Latn-BA"/>
        </w:rPr>
      </w:pPr>
    </w:p>
    <w:p w14:paraId="0113F1F5" w14:textId="77777777" w:rsidR="006E6A02" w:rsidRPr="00F837C2" w:rsidRDefault="00912A0F" w:rsidP="00037633">
      <w:pPr>
        <w:pStyle w:val="NoSpacing"/>
        <w:jc w:val="center"/>
        <w:rPr>
          <w:rFonts w:ascii="Cambria" w:hAnsi="Cambria"/>
          <w:b/>
          <w:bCs/>
          <w:lang w:val="sr-Latn-BA"/>
        </w:rPr>
      </w:pPr>
      <w:r w:rsidRPr="00F837C2">
        <w:rPr>
          <w:rFonts w:ascii="Cambria" w:eastAsia="Calibri" w:hAnsi="Cambria"/>
          <w:b/>
          <w:bCs/>
          <w:noProof/>
          <w:sz w:val="24"/>
          <w:szCs w:val="32"/>
          <w:lang w:val="sr-Latn-BA"/>
        </w:rPr>
        <w:drawing>
          <wp:anchor distT="0" distB="0" distL="114300" distR="114300" simplePos="0" relativeHeight="251655168" behindDoc="0" locked="0" layoutInCell="1" allowOverlap="1" wp14:anchorId="5C4D4633" wp14:editId="1B8B07A5">
            <wp:simplePos x="0" y="0"/>
            <wp:positionH relativeFrom="column">
              <wp:posOffset>1652905</wp:posOffset>
            </wp:positionH>
            <wp:positionV relativeFrom="paragraph">
              <wp:posOffset>116713</wp:posOffset>
            </wp:positionV>
            <wp:extent cx="2191766" cy="2189861"/>
            <wp:effectExtent l="0" t="0" r="0" b="1270"/>
            <wp:wrapNone/>
            <wp:docPr id="5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385" cy="218948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35E724" w14:textId="77777777" w:rsidR="006E6A02" w:rsidRPr="00F837C2" w:rsidRDefault="006E6A02" w:rsidP="00037633">
      <w:pPr>
        <w:pStyle w:val="NoSpacing"/>
        <w:jc w:val="center"/>
        <w:rPr>
          <w:rFonts w:ascii="Cambria" w:hAnsi="Cambria"/>
          <w:b/>
          <w:bCs/>
          <w:lang w:val="sr-Latn-BA"/>
        </w:rPr>
      </w:pPr>
    </w:p>
    <w:p w14:paraId="2FF1578D" w14:textId="77777777" w:rsidR="006E6A02" w:rsidRPr="00F837C2" w:rsidRDefault="006E6A02" w:rsidP="00037633">
      <w:pPr>
        <w:pStyle w:val="NoSpacing"/>
        <w:jc w:val="center"/>
        <w:rPr>
          <w:rFonts w:ascii="Cambria" w:hAnsi="Cambria"/>
          <w:b/>
          <w:bCs/>
          <w:lang w:val="sr-Latn-BA"/>
        </w:rPr>
      </w:pPr>
    </w:p>
    <w:p w14:paraId="58B88AD2" w14:textId="77777777" w:rsidR="006E6A02" w:rsidRPr="00F837C2" w:rsidRDefault="006E6A02" w:rsidP="00037633">
      <w:pPr>
        <w:pStyle w:val="NoSpacing"/>
        <w:jc w:val="center"/>
        <w:rPr>
          <w:rFonts w:ascii="Cambria" w:hAnsi="Cambria"/>
          <w:b/>
          <w:bCs/>
          <w:lang w:val="sr-Latn-BA"/>
        </w:rPr>
      </w:pPr>
    </w:p>
    <w:p w14:paraId="3AB288E2" w14:textId="77777777" w:rsidR="006E6A02" w:rsidRPr="00F837C2" w:rsidRDefault="00912A0F" w:rsidP="00037633">
      <w:pPr>
        <w:pStyle w:val="NoSpacing"/>
        <w:jc w:val="center"/>
        <w:rPr>
          <w:rFonts w:ascii="Cambria" w:hAnsi="Cambria"/>
          <w:b/>
          <w:bCs/>
          <w:lang w:val="sr-Latn-BA"/>
        </w:rPr>
      </w:pPr>
      <w:r w:rsidRPr="00F837C2">
        <w:rPr>
          <w:rFonts w:ascii="Cambria" w:eastAsia="Calibri" w:hAnsi="Cambria"/>
          <w:b/>
          <w:bCs/>
          <w:noProof/>
          <w:sz w:val="24"/>
          <w:szCs w:val="32"/>
          <w:lang w:val="sr-Latn-BA"/>
        </w:rPr>
        <w:drawing>
          <wp:anchor distT="274320" distB="1448689" distL="400812" distR="394208" simplePos="0" relativeHeight="251656192" behindDoc="1" locked="0" layoutInCell="1" allowOverlap="1" wp14:anchorId="3FB0F4BF" wp14:editId="02AA18E2">
            <wp:simplePos x="0" y="0"/>
            <wp:positionH relativeFrom="column">
              <wp:posOffset>-34798</wp:posOffset>
            </wp:positionH>
            <wp:positionV relativeFrom="paragraph">
              <wp:posOffset>220345</wp:posOffset>
            </wp:positionV>
            <wp:extent cx="5560060" cy="3696081"/>
            <wp:effectExtent l="323850" t="323850" r="326390" b="1504950"/>
            <wp:wrapNone/>
            <wp:docPr id="4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0060" cy="369570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  <a:reflection blurRad="6350" stA="52000" endA="300" endPos="3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3A23D6" w14:textId="77777777" w:rsidR="006E6A02" w:rsidRPr="00F837C2" w:rsidRDefault="006E6A02" w:rsidP="00037633">
      <w:pPr>
        <w:pStyle w:val="NoSpacing"/>
        <w:jc w:val="center"/>
        <w:rPr>
          <w:rFonts w:ascii="Cambria" w:hAnsi="Cambria"/>
          <w:b/>
          <w:bCs/>
          <w:lang w:val="sr-Latn-BA"/>
        </w:rPr>
      </w:pPr>
    </w:p>
    <w:p w14:paraId="477DAB7F" w14:textId="77777777" w:rsidR="006E6A02" w:rsidRPr="00F837C2" w:rsidRDefault="006E6A02" w:rsidP="00037633">
      <w:pPr>
        <w:pStyle w:val="NoSpacing"/>
        <w:jc w:val="center"/>
        <w:rPr>
          <w:rFonts w:ascii="Cambria" w:hAnsi="Cambria"/>
          <w:b/>
          <w:bCs/>
          <w:lang w:val="sr-Latn-BA"/>
        </w:rPr>
      </w:pPr>
    </w:p>
    <w:p w14:paraId="3B291090" w14:textId="77777777" w:rsidR="006E6A02" w:rsidRPr="00F837C2" w:rsidRDefault="006E6A02" w:rsidP="00037633">
      <w:pPr>
        <w:pStyle w:val="NoSpacing"/>
        <w:jc w:val="center"/>
        <w:rPr>
          <w:rFonts w:ascii="Cambria" w:hAnsi="Cambria"/>
          <w:b/>
          <w:bCs/>
          <w:lang w:val="sr-Latn-BA"/>
        </w:rPr>
      </w:pPr>
    </w:p>
    <w:p w14:paraId="316D2D98" w14:textId="77777777" w:rsidR="006E6A02" w:rsidRPr="00F837C2" w:rsidRDefault="006E6A02" w:rsidP="00037633">
      <w:pPr>
        <w:pStyle w:val="NoSpacing"/>
        <w:jc w:val="center"/>
        <w:rPr>
          <w:rFonts w:ascii="Cambria" w:hAnsi="Cambria"/>
          <w:b/>
          <w:bCs/>
          <w:lang w:val="sr-Latn-BA"/>
        </w:rPr>
      </w:pPr>
    </w:p>
    <w:p w14:paraId="447AEC6C" w14:textId="77777777" w:rsidR="006E6A02" w:rsidRPr="00F837C2" w:rsidRDefault="006E6A02" w:rsidP="00037633">
      <w:pPr>
        <w:pStyle w:val="NoSpacing"/>
        <w:jc w:val="center"/>
        <w:rPr>
          <w:rFonts w:ascii="Cambria" w:hAnsi="Cambria"/>
          <w:b/>
          <w:bCs/>
          <w:lang w:val="sr-Latn-BA"/>
        </w:rPr>
      </w:pPr>
    </w:p>
    <w:p w14:paraId="3ACCBAA9" w14:textId="77777777" w:rsidR="006E6A02" w:rsidRPr="00F837C2" w:rsidRDefault="006E6A02" w:rsidP="00037633">
      <w:pPr>
        <w:pStyle w:val="NoSpacing"/>
        <w:jc w:val="center"/>
        <w:rPr>
          <w:rFonts w:ascii="Cambria" w:hAnsi="Cambria"/>
          <w:b/>
          <w:bCs/>
          <w:lang w:val="sr-Latn-BA"/>
        </w:rPr>
      </w:pPr>
    </w:p>
    <w:p w14:paraId="5B21AD8D" w14:textId="77777777" w:rsidR="006E6A02" w:rsidRPr="00F837C2" w:rsidRDefault="006E6A02" w:rsidP="00037633">
      <w:pPr>
        <w:pStyle w:val="NoSpacing"/>
        <w:jc w:val="center"/>
        <w:rPr>
          <w:rFonts w:ascii="Cambria" w:hAnsi="Cambria"/>
          <w:b/>
          <w:bCs/>
          <w:sz w:val="28"/>
          <w:lang w:val="sr-Latn-BA"/>
        </w:rPr>
      </w:pPr>
    </w:p>
    <w:p w14:paraId="360BD0FE" w14:textId="77777777" w:rsidR="006E6A02" w:rsidRPr="00F837C2" w:rsidRDefault="006E6A02" w:rsidP="00037633">
      <w:pPr>
        <w:pStyle w:val="NoSpacing"/>
        <w:jc w:val="center"/>
        <w:rPr>
          <w:rFonts w:ascii="Cambria" w:hAnsi="Cambria"/>
          <w:b/>
          <w:bCs/>
          <w:sz w:val="28"/>
          <w:lang w:val="sr-Latn-BA"/>
        </w:rPr>
      </w:pPr>
    </w:p>
    <w:p w14:paraId="7E5D60C9" w14:textId="77777777" w:rsidR="006E6A02" w:rsidRPr="00F837C2" w:rsidRDefault="006E6A02" w:rsidP="00037633">
      <w:pPr>
        <w:pStyle w:val="NoSpacing"/>
        <w:jc w:val="center"/>
        <w:rPr>
          <w:rFonts w:ascii="Cambria" w:hAnsi="Cambria"/>
          <w:b/>
          <w:bCs/>
          <w:sz w:val="36"/>
          <w:lang w:val="sr-Latn-BA"/>
        </w:rPr>
      </w:pPr>
    </w:p>
    <w:p w14:paraId="5F56E7EB" w14:textId="77777777" w:rsidR="006E6A02" w:rsidRPr="00F837C2" w:rsidRDefault="006E6A02" w:rsidP="00037633">
      <w:pPr>
        <w:pStyle w:val="NoSpacing"/>
        <w:jc w:val="center"/>
        <w:rPr>
          <w:rFonts w:ascii="Cambria" w:hAnsi="Cambria"/>
          <w:b/>
          <w:bCs/>
          <w:sz w:val="36"/>
          <w:lang w:val="sr-Latn-BA"/>
        </w:rPr>
      </w:pPr>
    </w:p>
    <w:p w14:paraId="240C079A" w14:textId="77777777" w:rsidR="006E6A02" w:rsidRPr="00F837C2" w:rsidRDefault="006E6A02" w:rsidP="00037633">
      <w:pPr>
        <w:pStyle w:val="NoSpacing"/>
        <w:jc w:val="center"/>
        <w:rPr>
          <w:rFonts w:ascii="Cambria" w:hAnsi="Cambria"/>
          <w:b/>
          <w:bCs/>
          <w:sz w:val="36"/>
          <w:lang w:val="sr-Latn-BA"/>
        </w:rPr>
      </w:pPr>
    </w:p>
    <w:p w14:paraId="7C8C61A1" w14:textId="77777777" w:rsidR="006E6A02" w:rsidRPr="00F837C2" w:rsidRDefault="006E6A02" w:rsidP="00037633">
      <w:pPr>
        <w:pStyle w:val="NoSpacing"/>
        <w:jc w:val="center"/>
        <w:rPr>
          <w:rFonts w:ascii="Cambria" w:hAnsi="Cambria"/>
          <w:b/>
          <w:bCs/>
          <w:sz w:val="36"/>
          <w:lang w:val="sr-Latn-BA"/>
        </w:rPr>
      </w:pPr>
    </w:p>
    <w:p w14:paraId="308A50A8" w14:textId="77777777" w:rsidR="006E6A02" w:rsidRPr="00F837C2" w:rsidRDefault="006E6A02" w:rsidP="00037633">
      <w:pPr>
        <w:pStyle w:val="NoSpacing"/>
        <w:jc w:val="center"/>
        <w:rPr>
          <w:rFonts w:ascii="Cambria" w:hAnsi="Cambria"/>
          <w:b/>
          <w:bCs/>
          <w:sz w:val="36"/>
          <w:lang w:val="sr-Latn-BA"/>
        </w:rPr>
      </w:pPr>
    </w:p>
    <w:p w14:paraId="4544F78D" w14:textId="2024937D" w:rsidR="001F4EB5" w:rsidRPr="00F837C2" w:rsidRDefault="00F837C2" w:rsidP="00037633">
      <w:pPr>
        <w:pStyle w:val="NoSpacing"/>
        <w:jc w:val="center"/>
        <w:rPr>
          <w:rFonts w:ascii="Times New Roman" w:hAnsi="Times New Roman"/>
          <w:b/>
          <w:sz w:val="48"/>
          <w:szCs w:val="80"/>
          <w:lang w:val="sr-Latn-BA"/>
        </w:rPr>
      </w:pPr>
      <w:r w:rsidRPr="00F837C2">
        <w:rPr>
          <w:rFonts w:ascii="Times New Roman" w:hAnsi="Times New Roman"/>
          <w:b/>
          <w:sz w:val="48"/>
          <w:szCs w:val="80"/>
          <w:lang w:val="sr-Latn-BA"/>
        </w:rPr>
        <w:t>Izvještaj</w:t>
      </w:r>
      <w:r w:rsidR="001F4EB5" w:rsidRPr="00F837C2">
        <w:rPr>
          <w:rFonts w:ascii="Times New Roman" w:hAnsi="Times New Roman"/>
          <w:b/>
          <w:sz w:val="48"/>
          <w:szCs w:val="80"/>
          <w:lang w:val="sr-Latn-BA"/>
        </w:rPr>
        <w:t xml:space="preserve"> </w:t>
      </w:r>
      <w:r w:rsidRPr="00F837C2">
        <w:rPr>
          <w:rFonts w:ascii="Times New Roman" w:hAnsi="Times New Roman"/>
          <w:b/>
          <w:sz w:val="48"/>
          <w:szCs w:val="80"/>
          <w:lang w:val="sr-Latn-BA"/>
        </w:rPr>
        <w:t>o</w:t>
      </w:r>
      <w:r w:rsidR="001F4EB5" w:rsidRPr="00F837C2">
        <w:rPr>
          <w:rFonts w:ascii="Times New Roman" w:hAnsi="Times New Roman"/>
          <w:b/>
          <w:sz w:val="48"/>
          <w:szCs w:val="80"/>
          <w:lang w:val="sr-Latn-BA"/>
        </w:rPr>
        <w:t xml:space="preserve"> </w:t>
      </w:r>
      <w:r w:rsidRPr="00F837C2">
        <w:rPr>
          <w:rFonts w:ascii="Times New Roman" w:hAnsi="Times New Roman"/>
          <w:b/>
          <w:sz w:val="48"/>
          <w:szCs w:val="80"/>
          <w:lang w:val="sr-Latn-BA"/>
        </w:rPr>
        <w:t>finansijskom</w:t>
      </w:r>
    </w:p>
    <w:p w14:paraId="01D9B0BF" w14:textId="2C0B63C5" w:rsidR="006E6A02" w:rsidRPr="00F837C2" w:rsidRDefault="00F837C2" w:rsidP="00037633">
      <w:pPr>
        <w:pStyle w:val="NoSpacing"/>
        <w:jc w:val="center"/>
        <w:rPr>
          <w:rFonts w:ascii="Times New Roman" w:hAnsi="Times New Roman"/>
          <w:b/>
          <w:sz w:val="48"/>
          <w:szCs w:val="80"/>
          <w:lang w:val="sr-Latn-BA"/>
        </w:rPr>
      </w:pPr>
      <w:r w:rsidRPr="00F837C2">
        <w:rPr>
          <w:rFonts w:ascii="Times New Roman" w:hAnsi="Times New Roman"/>
          <w:b/>
          <w:sz w:val="48"/>
          <w:szCs w:val="80"/>
          <w:lang w:val="sr-Latn-BA"/>
        </w:rPr>
        <w:t>poslovanju</w:t>
      </w:r>
      <w:r w:rsidR="006E6A02" w:rsidRPr="00F837C2">
        <w:rPr>
          <w:rFonts w:ascii="Times New Roman" w:hAnsi="Times New Roman"/>
          <w:b/>
          <w:sz w:val="48"/>
          <w:szCs w:val="80"/>
          <w:lang w:val="sr-Latn-BA"/>
        </w:rPr>
        <w:t xml:space="preserve"> </w:t>
      </w:r>
    </w:p>
    <w:p w14:paraId="175E3EAB" w14:textId="77FAA929" w:rsidR="006E6A02" w:rsidRPr="00F837C2" w:rsidRDefault="00F837C2" w:rsidP="00037633">
      <w:pPr>
        <w:pStyle w:val="NoSpacing"/>
        <w:jc w:val="center"/>
        <w:rPr>
          <w:rFonts w:ascii="Times New Roman" w:hAnsi="Times New Roman"/>
          <w:b/>
          <w:sz w:val="32"/>
          <w:szCs w:val="80"/>
          <w:lang w:val="sr-Latn-BA"/>
        </w:rPr>
      </w:pPr>
      <w:r w:rsidRPr="00F837C2">
        <w:rPr>
          <w:rFonts w:ascii="Times New Roman" w:hAnsi="Times New Roman"/>
          <w:b/>
          <w:sz w:val="32"/>
          <w:szCs w:val="80"/>
          <w:lang w:val="sr-Latn-BA"/>
        </w:rPr>
        <w:t>za</w:t>
      </w:r>
      <w:r w:rsidR="006E6A02" w:rsidRPr="00F837C2">
        <w:rPr>
          <w:rFonts w:ascii="Times New Roman" w:hAnsi="Times New Roman"/>
          <w:b/>
          <w:sz w:val="32"/>
          <w:szCs w:val="80"/>
          <w:lang w:val="sr-Latn-BA"/>
        </w:rPr>
        <w:t xml:space="preserve"> </w:t>
      </w:r>
      <w:r w:rsidRPr="00F837C2">
        <w:rPr>
          <w:rFonts w:ascii="Times New Roman" w:hAnsi="Times New Roman"/>
          <w:b/>
          <w:sz w:val="32"/>
          <w:szCs w:val="80"/>
          <w:lang w:val="sr-Latn-BA"/>
        </w:rPr>
        <w:t>period</w:t>
      </w:r>
      <w:r w:rsidR="00E859D9" w:rsidRPr="00F837C2">
        <w:rPr>
          <w:rFonts w:ascii="Times New Roman" w:hAnsi="Times New Roman"/>
          <w:b/>
          <w:sz w:val="32"/>
          <w:szCs w:val="80"/>
          <w:lang w:val="sr-Latn-BA"/>
        </w:rPr>
        <w:t xml:space="preserve"> </w:t>
      </w:r>
      <w:r w:rsidR="00417B44">
        <w:rPr>
          <w:rFonts w:ascii="Times New Roman" w:hAnsi="Times New Roman"/>
          <w:b/>
          <w:sz w:val="32"/>
          <w:szCs w:val="80"/>
          <w:lang w:val="sr-Latn-BA"/>
        </w:rPr>
        <w:t>od 01.01. do 31.12.2024.</w:t>
      </w:r>
      <w:r w:rsidR="006E6A02" w:rsidRPr="00F837C2">
        <w:rPr>
          <w:rFonts w:ascii="Times New Roman" w:hAnsi="Times New Roman"/>
          <w:b/>
          <w:sz w:val="32"/>
          <w:szCs w:val="80"/>
          <w:lang w:val="sr-Latn-BA"/>
        </w:rPr>
        <w:t xml:space="preserve"> </w:t>
      </w:r>
      <w:r w:rsidRPr="00F837C2">
        <w:rPr>
          <w:rFonts w:ascii="Times New Roman" w:hAnsi="Times New Roman"/>
          <w:b/>
          <w:sz w:val="32"/>
          <w:szCs w:val="80"/>
          <w:lang w:val="sr-Latn-BA"/>
        </w:rPr>
        <w:t>godine</w:t>
      </w:r>
    </w:p>
    <w:p w14:paraId="1596F134" w14:textId="77777777" w:rsidR="006E6A02" w:rsidRPr="00F837C2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Latn-BA"/>
        </w:rPr>
      </w:pPr>
    </w:p>
    <w:p w14:paraId="5AB02285" w14:textId="77777777" w:rsidR="006E6A02" w:rsidRPr="00F837C2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Latn-BA"/>
        </w:rPr>
      </w:pPr>
    </w:p>
    <w:p w14:paraId="32291EDC" w14:textId="77777777" w:rsidR="006E6A02" w:rsidRPr="00F837C2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Latn-BA"/>
        </w:rPr>
      </w:pPr>
    </w:p>
    <w:p w14:paraId="6E91AFE4" w14:textId="77777777" w:rsidR="006E6A02" w:rsidRPr="00F837C2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Latn-BA"/>
        </w:rPr>
      </w:pPr>
    </w:p>
    <w:p w14:paraId="6615B317" w14:textId="77777777" w:rsidR="006E6A02" w:rsidRPr="00F837C2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Latn-BA"/>
        </w:rPr>
      </w:pPr>
    </w:p>
    <w:p w14:paraId="69845D88" w14:textId="77777777" w:rsidR="006E6A02" w:rsidRPr="00F837C2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Latn-BA"/>
        </w:rPr>
      </w:pPr>
    </w:p>
    <w:p w14:paraId="160524FE" w14:textId="77777777" w:rsidR="006E6A02" w:rsidRPr="00F837C2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Latn-BA"/>
        </w:rPr>
      </w:pPr>
    </w:p>
    <w:p w14:paraId="5E68DE0B" w14:textId="77777777" w:rsidR="006E6A02" w:rsidRPr="00F837C2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Latn-BA"/>
        </w:rPr>
      </w:pPr>
    </w:p>
    <w:p w14:paraId="781B278E" w14:textId="77777777" w:rsidR="008E6152" w:rsidRPr="00F837C2" w:rsidRDefault="008E615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Latn-BA"/>
        </w:rPr>
      </w:pPr>
    </w:p>
    <w:p w14:paraId="44C97171" w14:textId="77777777" w:rsidR="008E6152" w:rsidRPr="00F837C2" w:rsidRDefault="008E615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Latn-BA"/>
        </w:rPr>
      </w:pPr>
    </w:p>
    <w:p w14:paraId="7F11C374" w14:textId="77777777" w:rsidR="008E6152" w:rsidRPr="00F837C2" w:rsidRDefault="008E615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Latn-BA"/>
        </w:rPr>
      </w:pPr>
    </w:p>
    <w:p w14:paraId="67843D50" w14:textId="46F919C6" w:rsidR="006E6A02" w:rsidRPr="00F837C2" w:rsidRDefault="006E6A02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Latn-BA"/>
        </w:rPr>
      </w:pPr>
    </w:p>
    <w:p w14:paraId="5D5EA628" w14:textId="77777777" w:rsidR="003D3DEE" w:rsidRPr="00F837C2" w:rsidRDefault="003D3DEE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Latn-BA"/>
        </w:rPr>
      </w:pPr>
    </w:p>
    <w:p w14:paraId="57310FC9" w14:textId="77777777" w:rsidR="001F4EB5" w:rsidRPr="00F837C2" w:rsidRDefault="001F4EB5" w:rsidP="00037633">
      <w:pPr>
        <w:pStyle w:val="NoSpacing"/>
        <w:jc w:val="center"/>
        <w:rPr>
          <w:rFonts w:ascii="Cambria" w:hAnsi="Cambria"/>
          <w:b/>
          <w:sz w:val="32"/>
          <w:szCs w:val="80"/>
          <w:lang w:val="sr-Latn-BA"/>
        </w:rPr>
      </w:pPr>
    </w:p>
    <w:p w14:paraId="1037772D" w14:textId="77777777" w:rsidR="006E6A02" w:rsidRPr="00F837C2" w:rsidRDefault="006E6A02" w:rsidP="00037633">
      <w:pPr>
        <w:pStyle w:val="NoSpacing"/>
        <w:rPr>
          <w:rFonts w:ascii="Cambria" w:hAnsi="Cambria"/>
          <w:b/>
          <w:bCs/>
          <w:sz w:val="28"/>
          <w:lang w:val="sr-Latn-BA"/>
        </w:rPr>
      </w:pPr>
    </w:p>
    <w:p w14:paraId="3AE3B511" w14:textId="117DB2BA" w:rsidR="006E6A02" w:rsidRPr="00F837C2" w:rsidRDefault="00F837C2" w:rsidP="00037633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  <w:lang w:val="sr-Latn-BA"/>
        </w:rPr>
      </w:pPr>
      <w:r w:rsidRPr="00F837C2">
        <w:rPr>
          <w:rFonts w:ascii="Times New Roman" w:hAnsi="Times New Roman"/>
          <w:b/>
          <w:bCs/>
          <w:sz w:val="24"/>
          <w:szCs w:val="24"/>
          <w:lang w:val="sr-Latn-BA"/>
        </w:rPr>
        <w:t>Banja</w:t>
      </w:r>
      <w:r w:rsidR="006E6A02" w:rsidRPr="00F837C2">
        <w:rPr>
          <w:rFonts w:ascii="Times New Roman" w:hAnsi="Times New Roman"/>
          <w:b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/>
          <w:bCs/>
          <w:sz w:val="24"/>
          <w:szCs w:val="24"/>
          <w:lang w:val="sr-Latn-BA"/>
        </w:rPr>
        <w:t>Luka</w:t>
      </w:r>
      <w:r w:rsidR="006E6A02" w:rsidRPr="00F837C2">
        <w:rPr>
          <w:rFonts w:ascii="Times New Roman" w:hAnsi="Times New Roman"/>
          <w:b/>
          <w:bCs/>
          <w:sz w:val="24"/>
          <w:szCs w:val="24"/>
          <w:lang w:val="sr-Latn-BA"/>
        </w:rPr>
        <w:t xml:space="preserve">, </w:t>
      </w:r>
      <w:r w:rsidRPr="00F837C2">
        <w:rPr>
          <w:rFonts w:ascii="Times New Roman" w:hAnsi="Times New Roman"/>
          <w:b/>
          <w:bCs/>
          <w:sz w:val="24"/>
          <w:szCs w:val="24"/>
          <w:lang w:val="sr-Latn-BA"/>
        </w:rPr>
        <w:t>februar</w:t>
      </w:r>
      <w:r w:rsidR="00574594" w:rsidRPr="00F837C2">
        <w:rPr>
          <w:rFonts w:ascii="Times New Roman" w:hAnsi="Times New Roman"/>
          <w:b/>
          <w:bCs/>
          <w:sz w:val="24"/>
          <w:szCs w:val="24"/>
          <w:lang w:val="sr-Latn-BA"/>
        </w:rPr>
        <w:t xml:space="preserve"> </w:t>
      </w:r>
      <w:r w:rsidR="006E6A02" w:rsidRPr="00F837C2">
        <w:rPr>
          <w:rFonts w:ascii="Times New Roman" w:hAnsi="Times New Roman"/>
          <w:b/>
          <w:bCs/>
          <w:sz w:val="24"/>
          <w:szCs w:val="24"/>
          <w:lang w:val="sr-Latn-BA"/>
        </w:rPr>
        <w:t>20</w:t>
      </w:r>
      <w:r w:rsidR="00A119E7" w:rsidRPr="00F837C2">
        <w:rPr>
          <w:rFonts w:ascii="Times New Roman" w:hAnsi="Times New Roman"/>
          <w:b/>
          <w:bCs/>
          <w:sz w:val="24"/>
          <w:szCs w:val="24"/>
          <w:lang w:val="sr-Latn-BA"/>
        </w:rPr>
        <w:t>2</w:t>
      </w:r>
      <w:r w:rsidR="003F167C" w:rsidRPr="00F837C2">
        <w:rPr>
          <w:rFonts w:ascii="Times New Roman" w:hAnsi="Times New Roman"/>
          <w:b/>
          <w:bCs/>
          <w:sz w:val="24"/>
          <w:szCs w:val="24"/>
          <w:lang w:val="sr-Latn-BA"/>
        </w:rPr>
        <w:t>5</w:t>
      </w:r>
      <w:r w:rsidR="006E6A02" w:rsidRPr="00F837C2">
        <w:rPr>
          <w:rFonts w:ascii="Times New Roman" w:hAnsi="Times New Roman"/>
          <w:b/>
          <w:bCs/>
          <w:sz w:val="24"/>
          <w:szCs w:val="24"/>
          <w:lang w:val="sr-Latn-BA"/>
        </w:rPr>
        <w:t xml:space="preserve">. </w:t>
      </w:r>
      <w:r w:rsidRPr="00F837C2">
        <w:rPr>
          <w:rFonts w:ascii="Times New Roman" w:hAnsi="Times New Roman"/>
          <w:b/>
          <w:bCs/>
          <w:sz w:val="24"/>
          <w:szCs w:val="24"/>
          <w:lang w:val="sr-Latn-BA"/>
        </w:rPr>
        <w:t>godine</w:t>
      </w:r>
    </w:p>
    <w:p w14:paraId="4CA61E19" w14:textId="77777777" w:rsidR="006E6A02" w:rsidRPr="00F837C2" w:rsidRDefault="00912A0F" w:rsidP="00037633">
      <w:pPr>
        <w:pStyle w:val="NoSpacing"/>
        <w:jc w:val="center"/>
        <w:rPr>
          <w:rFonts w:ascii="Cambria" w:hAnsi="Cambria"/>
          <w:b/>
          <w:bCs/>
          <w:sz w:val="28"/>
          <w:lang w:val="sr-Latn-BA"/>
        </w:rPr>
      </w:pPr>
      <w:r w:rsidRPr="00F837C2">
        <w:rPr>
          <w:rFonts w:ascii="Cambria" w:hAnsi="Cambria"/>
          <w:noProof/>
          <w:lang w:val="sr-Latn-BA"/>
        </w:rPr>
        <w:lastRenderedPageBreak/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289533E" wp14:editId="794B53C1">
                <wp:simplePos x="0" y="0"/>
                <wp:positionH relativeFrom="column">
                  <wp:posOffset>-445135</wp:posOffset>
                </wp:positionH>
                <wp:positionV relativeFrom="paragraph">
                  <wp:posOffset>-480060</wp:posOffset>
                </wp:positionV>
                <wp:extent cx="6346190" cy="6176010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6190" cy="6176010"/>
                        </a:xfrm>
                        <a:prstGeom prst="rect">
                          <a:avLst/>
                        </a:prstGeom>
                        <a:solidFill>
                          <a:srgbClr val="DBE5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2DD3BEF3" id="Rectangle 2" o:spid="_x0000_s1026" style="position:absolute;margin-left:-35.05pt;margin-top:-37.8pt;width:499.7pt;height:486.3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" fillcolor="#dbe5f1" stroked="f"/>
            </w:pict>
          </mc:Fallback>
        </mc:AlternateConten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400" w:firstRow="0" w:lastRow="0" w:firstColumn="0" w:lastColumn="0" w:noHBand="0" w:noVBand="1"/>
      </w:tblPr>
      <w:tblGrid>
        <w:gridCol w:w="4405"/>
        <w:gridCol w:w="4405"/>
      </w:tblGrid>
      <w:tr w:rsidR="006E6A02" w:rsidRPr="00F837C2" w14:paraId="3B68A80E" w14:textId="77777777" w:rsidTr="006E6A02">
        <w:tc>
          <w:tcPr>
            <w:tcW w:w="4405" w:type="dxa"/>
          </w:tcPr>
          <w:p w14:paraId="1BDD8584" w14:textId="5B9B2C51" w:rsidR="006E6A02" w:rsidRPr="00F837C2" w:rsidRDefault="00F837C2" w:rsidP="00037633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lang w:val="sr-Latn-BA"/>
              </w:rPr>
            </w:pPr>
            <w:r w:rsidRPr="00F837C2">
              <w:rPr>
                <w:rFonts w:ascii="Times New Roman" w:hAnsi="Times New Roman"/>
                <w:b/>
                <w:sz w:val="24"/>
                <w:lang w:val="sr-Latn-BA"/>
              </w:rPr>
              <w:t>Adresa</w:t>
            </w:r>
            <w:r w:rsidR="006E6A02" w:rsidRPr="00F837C2">
              <w:rPr>
                <w:rFonts w:ascii="Times New Roman" w:hAnsi="Times New Roman"/>
                <w:b/>
                <w:sz w:val="24"/>
                <w:lang w:val="sr-Latn-BA"/>
              </w:rPr>
              <w:t>:</w:t>
            </w:r>
          </w:p>
        </w:tc>
        <w:tc>
          <w:tcPr>
            <w:tcW w:w="4405" w:type="dxa"/>
          </w:tcPr>
          <w:p w14:paraId="1C57EA07" w14:textId="6443DCE1" w:rsidR="006E6A02" w:rsidRPr="00F837C2" w:rsidRDefault="00F837C2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Latn-BA"/>
              </w:rPr>
            </w:pPr>
            <w:r w:rsidRPr="00F837C2">
              <w:rPr>
                <w:rFonts w:ascii="Times New Roman" w:hAnsi="Times New Roman"/>
                <w:sz w:val="24"/>
                <w:lang w:val="sr-Latn-BA"/>
              </w:rPr>
              <w:t>Banja</w:t>
            </w:r>
            <w:r w:rsidR="006E6A02" w:rsidRPr="00F837C2">
              <w:rPr>
                <w:rFonts w:ascii="Times New Roman" w:hAnsi="Times New Roman"/>
                <w:sz w:val="24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4"/>
                <w:lang w:val="sr-Latn-BA"/>
              </w:rPr>
              <w:t>Luka</w:t>
            </w:r>
          </w:p>
          <w:p w14:paraId="73B9D68C" w14:textId="5C867A15" w:rsidR="006E6A02" w:rsidRPr="00F837C2" w:rsidRDefault="00F837C2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Latn-BA"/>
              </w:rPr>
            </w:pPr>
            <w:r w:rsidRPr="00F837C2">
              <w:rPr>
                <w:rFonts w:ascii="Times New Roman" w:hAnsi="Times New Roman"/>
                <w:sz w:val="24"/>
                <w:lang w:val="sr-Latn-BA"/>
              </w:rPr>
              <w:t>Vuka</w:t>
            </w:r>
            <w:r w:rsidR="006E6A02" w:rsidRPr="00F837C2">
              <w:rPr>
                <w:rFonts w:ascii="Times New Roman" w:hAnsi="Times New Roman"/>
                <w:sz w:val="24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4"/>
                <w:lang w:val="sr-Latn-BA"/>
              </w:rPr>
              <w:t>Karadžića</w:t>
            </w:r>
            <w:r w:rsidR="006E6A02" w:rsidRPr="00F837C2">
              <w:rPr>
                <w:rFonts w:ascii="Times New Roman" w:hAnsi="Times New Roman"/>
                <w:sz w:val="24"/>
                <w:lang w:val="sr-Latn-BA"/>
              </w:rPr>
              <w:t xml:space="preserve"> 6</w:t>
            </w:r>
          </w:p>
        </w:tc>
      </w:tr>
      <w:tr w:rsidR="006E6A02" w:rsidRPr="00F837C2" w14:paraId="6B69B50E" w14:textId="77777777" w:rsidTr="006E6A02">
        <w:tc>
          <w:tcPr>
            <w:tcW w:w="4405" w:type="dxa"/>
          </w:tcPr>
          <w:p w14:paraId="3903E9D8" w14:textId="580BA0C0" w:rsidR="006E6A02" w:rsidRPr="00F837C2" w:rsidRDefault="00F837C2" w:rsidP="00037633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lang w:val="sr-Latn-BA"/>
              </w:rPr>
            </w:pPr>
            <w:r w:rsidRPr="00F837C2">
              <w:rPr>
                <w:rFonts w:ascii="Times New Roman" w:hAnsi="Times New Roman"/>
                <w:b/>
                <w:sz w:val="24"/>
                <w:lang w:val="sr-Latn-BA"/>
              </w:rPr>
              <w:t>Telefon</w:t>
            </w:r>
            <w:r w:rsidR="006E6A02" w:rsidRPr="00F837C2">
              <w:rPr>
                <w:rFonts w:ascii="Times New Roman" w:hAnsi="Times New Roman"/>
                <w:b/>
                <w:sz w:val="24"/>
                <w:lang w:val="sr-Latn-BA"/>
              </w:rPr>
              <w:t>(</w:t>
            </w:r>
            <w:r w:rsidRPr="00F837C2">
              <w:rPr>
                <w:rFonts w:ascii="Times New Roman" w:hAnsi="Times New Roman"/>
                <w:b/>
                <w:sz w:val="24"/>
                <w:lang w:val="sr-Latn-BA"/>
              </w:rPr>
              <w:t>i</w:t>
            </w:r>
            <w:r w:rsidR="006E6A02" w:rsidRPr="00F837C2">
              <w:rPr>
                <w:rFonts w:ascii="Times New Roman" w:hAnsi="Times New Roman"/>
                <w:b/>
                <w:sz w:val="24"/>
                <w:lang w:val="sr-Latn-BA"/>
              </w:rPr>
              <w:t>):</w:t>
            </w:r>
          </w:p>
        </w:tc>
        <w:tc>
          <w:tcPr>
            <w:tcW w:w="4405" w:type="dxa"/>
          </w:tcPr>
          <w:p w14:paraId="662EC541" w14:textId="77777777" w:rsidR="006E6A02" w:rsidRPr="00F837C2" w:rsidRDefault="006E6A02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Latn-BA"/>
              </w:rPr>
            </w:pPr>
            <w:r w:rsidRPr="00F837C2">
              <w:rPr>
                <w:rFonts w:ascii="Times New Roman" w:hAnsi="Times New Roman"/>
                <w:sz w:val="24"/>
                <w:lang w:val="sr-Latn-BA"/>
              </w:rPr>
              <w:t>+387 51 218 356</w:t>
            </w:r>
          </w:p>
          <w:p w14:paraId="2B523AE3" w14:textId="77777777" w:rsidR="006E6A02" w:rsidRPr="00F837C2" w:rsidRDefault="006E6A02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Latn-BA"/>
              </w:rPr>
            </w:pPr>
            <w:r w:rsidRPr="00F837C2">
              <w:rPr>
                <w:rFonts w:ascii="Times New Roman" w:hAnsi="Times New Roman"/>
                <w:sz w:val="24"/>
                <w:lang w:val="sr-Latn-BA"/>
              </w:rPr>
              <w:t>+387 51 218 362</w:t>
            </w:r>
          </w:p>
          <w:p w14:paraId="0CA9DC00" w14:textId="77777777" w:rsidR="006E6A02" w:rsidRPr="00F837C2" w:rsidRDefault="006E6A02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Latn-BA"/>
              </w:rPr>
            </w:pPr>
            <w:r w:rsidRPr="00F837C2">
              <w:rPr>
                <w:rFonts w:ascii="Times New Roman" w:hAnsi="Times New Roman"/>
                <w:sz w:val="24"/>
                <w:lang w:val="sr-Latn-BA"/>
              </w:rPr>
              <w:t>+387 51 212 199</w:t>
            </w:r>
          </w:p>
        </w:tc>
      </w:tr>
      <w:tr w:rsidR="006E6A02" w:rsidRPr="00F837C2" w14:paraId="5342A31F" w14:textId="77777777" w:rsidTr="006E6A02">
        <w:tc>
          <w:tcPr>
            <w:tcW w:w="4405" w:type="dxa"/>
          </w:tcPr>
          <w:p w14:paraId="5153B7BF" w14:textId="1A6C88F3" w:rsidR="006E6A02" w:rsidRPr="00F837C2" w:rsidRDefault="00F837C2" w:rsidP="00037633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lang w:val="sr-Latn-BA"/>
              </w:rPr>
            </w:pPr>
            <w:r w:rsidRPr="00F837C2">
              <w:rPr>
                <w:rFonts w:ascii="Times New Roman" w:hAnsi="Times New Roman"/>
                <w:b/>
                <w:sz w:val="24"/>
                <w:lang w:val="sr-Latn-BA"/>
              </w:rPr>
              <w:t>Faks</w:t>
            </w:r>
            <w:r w:rsidR="006E6A02" w:rsidRPr="00F837C2">
              <w:rPr>
                <w:rFonts w:ascii="Times New Roman" w:hAnsi="Times New Roman"/>
                <w:b/>
                <w:sz w:val="24"/>
                <w:lang w:val="sr-Latn-BA"/>
              </w:rPr>
              <w:t>:</w:t>
            </w:r>
          </w:p>
        </w:tc>
        <w:tc>
          <w:tcPr>
            <w:tcW w:w="4405" w:type="dxa"/>
          </w:tcPr>
          <w:p w14:paraId="13BCF654" w14:textId="77777777" w:rsidR="006E6A02" w:rsidRPr="00F837C2" w:rsidRDefault="006E6A02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Latn-BA"/>
              </w:rPr>
            </w:pPr>
            <w:r w:rsidRPr="00F837C2">
              <w:rPr>
                <w:rFonts w:ascii="Times New Roman" w:hAnsi="Times New Roman"/>
                <w:sz w:val="24"/>
                <w:lang w:val="sr-Latn-BA"/>
              </w:rPr>
              <w:t>+387 51 218 361</w:t>
            </w:r>
          </w:p>
        </w:tc>
      </w:tr>
      <w:tr w:rsidR="006E6A02" w:rsidRPr="00F837C2" w14:paraId="11B29662" w14:textId="77777777" w:rsidTr="006E6A02">
        <w:tc>
          <w:tcPr>
            <w:tcW w:w="4405" w:type="dxa"/>
          </w:tcPr>
          <w:p w14:paraId="3E78B55A" w14:textId="77777777" w:rsidR="006E6A02" w:rsidRPr="00F837C2" w:rsidRDefault="006E6A02" w:rsidP="00037633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lang w:val="sr-Latn-BA"/>
              </w:rPr>
            </w:pPr>
            <w:r w:rsidRPr="00F837C2">
              <w:rPr>
                <w:rFonts w:ascii="Times New Roman" w:hAnsi="Times New Roman"/>
                <w:b/>
                <w:sz w:val="24"/>
                <w:lang w:val="sr-Latn-BA"/>
              </w:rPr>
              <w:t xml:space="preserve">e-mail: </w:t>
            </w:r>
          </w:p>
        </w:tc>
        <w:tc>
          <w:tcPr>
            <w:tcW w:w="4405" w:type="dxa"/>
          </w:tcPr>
          <w:p w14:paraId="37D21669" w14:textId="77777777" w:rsidR="006E6A02" w:rsidRPr="00F837C2" w:rsidRDefault="006E6A02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Latn-BA"/>
              </w:rPr>
            </w:pPr>
            <w:r w:rsidRPr="00F837C2">
              <w:rPr>
                <w:rFonts w:ascii="Times New Roman" w:hAnsi="Times New Roman"/>
                <w:bCs/>
                <w:sz w:val="24"/>
                <w:lang w:val="sr-Latn-BA"/>
              </w:rPr>
              <w:t>kontakt@secrs.gov.ba</w:t>
            </w:r>
          </w:p>
        </w:tc>
      </w:tr>
      <w:tr w:rsidR="006E6A02" w:rsidRPr="00F837C2" w14:paraId="64850602" w14:textId="77777777" w:rsidTr="006E6A02">
        <w:tc>
          <w:tcPr>
            <w:tcW w:w="4405" w:type="dxa"/>
          </w:tcPr>
          <w:p w14:paraId="0B3FF815" w14:textId="77777777" w:rsidR="006E6A02" w:rsidRPr="00F837C2" w:rsidRDefault="006E6A02" w:rsidP="00037633">
            <w:pPr>
              <w:spacing w:before="0" w:after="0" w:line="240" w:lineRule="auto"/>
              <w:rPr>
                <w:rFonts w:ascii="Times New Roman" w:hAnsi="Times New Roman"/>
                <w:b/>
                <w:sz w:val="24"/>
                <w:lang w:val="sr-Latn-BA"/>
              </w:rPr>
            </w:pPr>
            <w:r w:rsidRPr="00F837C2">
              <w:rPr>
                <w:rFonts w:ascii="Times New Roman" w:hAnsi="Times New Roman"/>
                <w:b/>
                <w:sz w:val="24"/>
                <w:lang w:val="sr-Latn-BA"/>
              </w:rPr>
              <w:t>Web:</w:t>
            </w:r>
          </w:p>
        </w:tc>
        <w:tc>
          <w:tcPr>
            <w:tcW w:w="4405" w:type="dxa"/>
          </w:tcPr>
          <w:p w14:paraId="301D063C" w14:textId="77777777" w:rsidR="006E6A02" w:rsidRPr="00F837C2" w:rsidRDefault="006E6A02" w:rsidP="00037633">
            <w:pPr>
              <w:spacing w:before="0" w:after="0" w:line="240" w:lineRule="auto"/>
              <w:jc w:val="right"/>
              <w:rPr>
                <w:rFonts w:ascii="Times New Roman" w:hAnsi="Times New Roman"/>
                <w:sz w:val="24"/>
                <w:lang w:val="sr-Latn-BA"/>
              </w:rPr>
            </w:pPr>
            <w:r w:rsidRPr="00F837C2">
              <w:rPr>
                <w:rFonts w:ascii="Times New Roman" w:hAnsi="Times New Roman"/>
                <w:bCs/>
                <w:sz w:val="24"/>
                <w:lang w:val="sr-Latn-BA"/>
              </w:rPr>
              <w:t>www.secrs.gov.ba</w:t>
            </w:r>
          </w:p>
        </w:tc>
      </w:tr>
    </w:tbl>
    <w:p w14:paraId="5E446F3D" w14:textId="77777777" w:rsidR="006E6A02" w:rsidRPr="00F837C2" w:rsidRDefault="006E6A02" w:rsidP="00037633">
      <w:pPr>
        <w:spacing w:before="0" w:after="0" w:line="240" w:lineRule="auto"/>
        <w:rPr>
          <w:rFonts w:ascii="Cambria" w:hAnsi="Cambria"/>
          <w:lang w:val="sr-Latn-BA"/>
        </w:rPr>
      </w:pPr>
    </w:p>
    <w:p w14:paraId="026C6250" w14:textId="77777777" w:rsidR="006E6A02" w:rsidRPr="00F837C2" w:rsidRDefault="006E6A02" w:rsidP="00037633">
      <w:pPr>
        <w:spacing w:before="0" w:after="0" w:line="240" w:lineRule="auto"/>
        <w:rPr>
          <w:rFonts w:ascii="Cambria" w:hAnsi="Cambria"/>
          <w:lang w:val="sr-Latn-BA"/>
        </w:rPr>
      </w:pPr>
    </w:p>
    <w:p w14:paraId="130440CD" w14:textId="77777777" w:rsidR="006E6A02" w:rsidRPr="00F837C2" w:rsidRDefault="006E6A02" w:rsidP="00037633">
      <w:pPr>
        <w:spacing w:before="0" w:after="0" w:line="240" w:lineRule="auto"/>
        <w:rPr>
          <w:rFonts w:ascii="Cambria" w:hAnsi="Cambria"/>
          <w:lang w:val="sr-Latn-BA"/>
        </w:rPr>
      </w:pPr>
    </w:p>
    <w:p w14:paraId="2536B29F" w14:textId="77777777" w:rsidR="006E6A02" w:rsidRPr="00F837C2" w:rsidRDefault="006E6A02" w:rsidP="00037633">
      <w:pPr>
        <w:spacing w:before="0" w:after="0" w:line="240" w:lineRule="auto"/>
        <w:rPr>
          <w:rFonts w:ascii="Cambria" w:hAnsi="Cambria"/>
          <w:lang w:val="sr-Latn-BA"/>
        </w:rPr>
      </w:pPr>
    </w:p>
    <w:p w14:paraId="3E6F4671" w14:textId="77777777" w:rsidR="006E6A02" w:rsidRPr="00F837C2" w:rsidRDefault="006E6A02" w:rsidP="00037633">
      <w:pPr>
        <w:spacing w:before="0" w:after="0" w:line="240" w:lineRule="auto"/>
        <w:rPr>
          <w:rFonts w:ascii="Cambria" w:hAnsi="Cambria"/>
          <w:lang w:val="sr-Latn-BA"/>
        </w:rPr>
      </w:pPr>
    </w:p>
    <w:p w14:paraId="4DEE3E3B" w14:textId="77777777" w:rsidR="006E6A02" w:rsidRPr="00F837C2" w:rsidRDefault="006E6A02" w:rsidP="00037633">
      <w:pPr>
        <w:spacing w:before="0" w:after="0" w:line="240" w:lineRule="auto"/>
        <w:rPr>
          <w:rFonts w:ascii="Cambria" w:hAnsi="Cambria"/>
          <w:lang w:val="sr-Latn-BA"/>
        </w:rPr>
      </w:pPr>
    </w:p>
    <w:p w14:paraId="47D64DD3" w14:textId="77777777" w:rsidR="006E6A02" w:rsidRPr="00F837C2" w:rsidRDefault="006E6A02" w:rsidP="00037633">
      <w:pPr>
        <w:spacing w:before="0" w:after="0" w:line="240" w:lineRule="auto"/>
        <w:rPr>
          <w:rFonts w:ascii="Cambria" w:hAnsi="Cambria"/>
          <w:lang w:val="sr-Latn-BA"/>
        </w:rPr>
      </w:pPr>
    </w:p>
    <w:p w14:paraId="0374832E" w14:textId="77777777" w:rsidR="006E6A02" w:rsidRPr="00F837C2" w:rsidRDefault="006E6A02" w:rsidP="00037633">
      <w:pPr>
        <w:spacing w:before="0" w:after="0" w:line="240" w:lineRule="auto"/>
        <w:rPr>
          <w:rFonts w:ascii="Cambria" w:hAnsi="Cambria"/>
          <w:lang w:val="sr-Latn-BA"/>
        </w:rPr>
      </w:pPr>
    </w:p>
    <w:p w14:paraId="27D921ED" w14:textId="77777777" w:rsidR="006E6A02" w:rsidRPr="00F837C2" w:rsidRDefault="006E6A02" w:rsidP="00037633">
      <w:pPr>
        <w:spacing w:before="0" w:after="0" w:line="240" w:lineRule="auto"/>
        <w:rPr>
          <w:rFonts w:ascii="Cambria" w:hAnsi="Cambria"/>
          <w:lang w:val="sr-Latn-BA"/>
        </w:rPr>
      </w:pPr>
    </w:p>
    <w:p w14:paraId="4FF74D00" w14:textId="77777777" w:rsidR="006E6A02" w:rsidRPr="00F837C2" w:rsidRDefault="006E6A02" w:rsidP="00037633">
      <w:pPr>
        <w:spacing w:before="0" w:after="0" w:line="240" w:lineRule="auto"/>
        <w:rPr>
          <w:rFonts w:ascii="Cambria" w:hAnsi="Cambria"/>
          <w:lang w:val="sr-Latn-BA"/>
        </w:rPr>
      </w:pPr>
    </w:p>
    <w:p w14:paraId="5D51D2EA" w14:textId="77777777" w:rsidR="006E6A02" w:rsidRPr="00F837C2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271533A6" w14:textId="77777777" w:rsidR="006E6A02" w:rsidRPr="00F837C2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736B3C92" w14:textId="77777777" w:rsidR="006E6A02" w:rsidRPr="00F837C2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73FFA200" w14:textId="77777777" w:rsidR="006E6A02" w:rsidRPr="00F837C2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30F6C8AC" w14:textId="77777777" w:rsidR="006E6A02" w:rsidRPr="00F837C2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067D2CE7" w14:textId="77777777" w:rsidR="006E6A02" w:rsidRPr="00F837C2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0B305929" w14:textId="77777777" w:rsidR="006E6A02" w:rsidRPr="00F837C2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58D9390F" w14:textId="77777777" w:rsidR="006E6A02" w:rsidRPr="00F837C2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206ED303" w14:textId="77777777" w:rsidR="006E6A02" w:rsidRPr="00F837C2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56A1D668" w14:textId="77777777" w:rsidR="006E6A02" w:rsidRPr="00F837C2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19AB3617" w14:textId="77777777" w:rsidR="006E6A02" w:rsidRPr="00F837C2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5846CFD2" w14:textId="77777777" w:rsidR="006E6A02" w:rsidRPr="00F837C2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2F9F7F5C" w14:textId="77777777" w:rsidR="006E6A02" w:rsidRPr="00F837C2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14E5BE9F" w14:textId="77777777" w:rsidR="006E6A02" w:rsidRPr="00F837C2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4CCE9734" w14:textId="77777777" w:rsidR="006E6A02" w:rsidRPr="00F837C2" w:rsidRDefault="00912A0F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  <w:r w:rsidRPr="00F837C2">
        <w:rPr>
          <w:rFonts w:ascii="Cambria" w:hAnsi="Cambria"/>
          <w:b/>
          <w:bCs/>
          <w:noProof/>
          <w:lang w:val="sr-Latn-BA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9D908F9" wp14:editId="763A2E04">
                <wp:simplePos x="0" y="0"/>
                <wp:positionH relativeFrom="column">
                  <wp:posOffset>-445135</wp:posOffset>
                </wp:positionH>
                <wp:positionV relativeFrom="paragraph">
                  <wp:posOffset>78740</wp:posOffset>
                </wp:positionV>
                <wp:extent cx="6346190" cy="2676525"/>
                <wp:effectExtent l="0" t="0" r="0" b="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6190" cy="2676525"/>
                        </a:xfrm>
                        <a:prstGeom prst="rect">
                          <a:avLst/>
                        </a:prstGeom>
                        <a:solidFill>
                          <a:srgbClr val="B8CCE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29A73136" id="Rectangle 3" o:spid="_x0000_s1026" style="position:absolute;margin-left:-35.05pt;margin-top:6.2pt;width:499.7pt;height:210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" fillcolor="#b8cce4" stroked="f"/>
            </w:pict>
          </mc:Fallback>
        </mc:AlternateContent>
      </w:r>
    </w:p>
    <w:p w14:paraId="2C8B7DA2" w14:textId="77777777" w:rsidR="006E6A02" w:rsidRPr="00F837C2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7E5F7E39" w14:textId="77777777" w:rsidR="006E6A02" w:rsidRPr="00F837C2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307A50C3" w14:textId="77777777" w:rsidR="006E6A02" w:rsidRPr="00F837C2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5F790CA6" w14:textId="77777777" w:rsidR="006E6A02" w:rsidRPr="00F837C2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41E724E8" w14:textId="77777777" w:rsidR="006E6A02" w:rsidRPr="00F837C2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5B7FA1A2" w14:textId="77777777" w:rsidR="006E6A02" w:rsidRPr="00F837C2" w:rsidRDefault="006E6A02" w:rsidP="00037633">
      <w:pPr>
        <w:pStyle w:val="NoSpacing"/>
        <w:jc w:val="center"/>
        <w:rPr>
          <w:rFonts w:ascii="Cambria" w:hAnsi="Cambria" w:cs="Calibri"/>
          <w:b/>
          <w:bCs/>
          <w:sz w:val="28"/>
          <w:lang w:val="sr-Latn-BA"/>
        </w:rPr>
      </w:pPr>
    </w:p>
    <w:p w14:paraId="4A68BD63" w14:textId="0ED80157" w:rsidR="001F4EB5" w:rsidRPr="00F837C2" w:rsidRDefault="00F837C2" w:rsidP="00037633">
      <w:pPr>
        <w:pStyle w:val="NoSpacing"/>
        <w:jc w:val="center"/>
        <w:rPr>
          <w:rFonts w:ascii="Times New Roman" w:hAnsi="Times New Roman"/>
          <w:b/>
          <w:sz w:val="28"/>
          <w:szCs w:val="28"/>
          <w:lang w:val="sr-Latn-BA"/>
        </w:rPr>
      </w:pPr>
      <w:r w:rsidRPr="00F837C2">
        <w:rPr>
          <w:rFonts w:ascii="Times New Roman" w:hAnsi="Times New Roman"/>
          <w:b/>
          <w:bCs/>
          <w:sz w:val="28"/>
          <w:szCs w:val="28"/>
          <w:lang w:val="sr-Latn-BA"/>
        </w:rPr>
        <w:t>Izvještaj</w:t>
      </w:r>
      <w:r w:rsidR="006E6A02" w:rsidRPr="00F837C2">
        <w:rPr>
          <w:rFonts w:ascii="Times New Roman" w:hAnsi="Times New Roman"/>
          <w:b/>
          <w:bCs/>
          <w:sz w:val="28"/>
          <w:szCs w:val="28"/>
          <w:lang w:val="sr-Latn-BA"/>
        </w:rPr>
        <w:t xml:space="preserve"> </w:t>
      </w:r>
      <w:r w:rsidRPr="00F837C2">
        <w:rPr>
          <w:rFonts w:ascii="Times New Roman" w:hAnsi="Times New Roman"/>
          <w:b/>
          <w:bCs/>
          <w:sz w:val="28"/>
          <w:szCs w:val="28"/>
          <w:lang w:val="sr-Latn-BA"/>
        </w:rPr>
        <w:t>o</w:t>
      </w:r>
      <w:r w:rsidR="006E6A02" w:rsidRPr="00F837C2">
        <w:rPr>
          <w:rFonts w:ascii="Times New Roman" w:hAnsi="Times New Roman"/>
          <w:b/>
          <w:bCs/>
          <w:sz w:val="28"/>
          <w:szCs w:val="28"/>
          <w:lang w:val="sr-Latn-BA"/>
        </w:rPr>
        <w:t xml:space="preserve"> </w:t>
      </w:r>
      <w:r w:rsidRPr="00F837C2">
        <w:rPr>
          <w:rFonts w:ascii="Times New Roman" w:hAnsi="Times New Roman"/>
          <w:b/>
          <w:bCs/>
          <w:sz w:val="28"/>
          <w:szCs w:val="28"/>
          <w:lang w:val="sr-Latn-BA"/>
        </w:rPr>
        <w:t>finansijskom</w:t>
      </w:r>
      <w:r w:rsidR="006E6A02" w:rsidRPr="00F837C2">
        <w:rPr>
          <w:rFonts w:ascii="Times New Roman" w:hAnsi="Times New Roman"/>
          <w:b/>
          <w:bCs/>
          <w:sz w:val="28"/>
          <w:szCs w:val="28"/>
          <w:lang w:val="sr-Latn-BA"/>
        </w:rPr>
        <w:t xml:space="preserve"> </w:t>
      </w:r>
      <w:r w:rsidRPr="00F837C2">
        <w:rPr>
          <w:rFonts w:ascii="Times New Roman" w:hAnsi="Times New Roman"/>
          <w:b/>
          <w:bCs/>
          <w:sz w:val="28"/>
          <w:szCs w:val="28"/>
          <w:lang w:val="sr-Latn-BA"/>
        </w:rPr>
        <w:t>poslovanju</w:t>
      </w:r>
      <w:r w:rsidR="006E6A02" w:rsidRPr="00F837C2">
        <w:rPr>
          <w:rFonts w:ascii="Times New Roman" w:hAnsi="Times New Roman"/>
          <w:b/>
          <w:bCs/>
          <w:sz w:val="28"/>
          <w:szCs w:val="28"/>
          <w:lang w:val="sr-Latn-BA"/>
        </w:rPr>
        <w:t xml:space="preserve"> </w:t>
      </w:r>
      <w:r w:rsidRPr="00F837C2">
        <w:rPr>
          <w:rFonts w:ascii="Times New Roman" w:hAnsi="Times New Roman"/>
          <w:b/>
          <w:bCs/>
          <w:sz w:val="28"/>
          <w:szCs w:val="28"/>
          <w:lang w:val="sr-Latn-BA"/>
        </w:rPr>
        <w:t>za</w:t>
      </w:r>
      <w:r w:rsidR="006E6A02" w:rsidRPr="00F837C2">
        <w:rPr>
          <w:rFonts w:ascii="Times New Roman" w:hAnsi="Times New Roman"/>
          <w:b/>
          <w:bCs/>
          <w:sz w:val="28"/>
          <w:szCs w:val="28"/>
          <w:lang w:val="sr-Latn-BA"/>
        </w:rPr>
        <w:t xml:space="preserve"> </w:t>
      </w:r>
      <w:r w:rsidRPr="00F837C2">
        <w:rPr>
          <w:rFonts w:ascii="Times New Roman" w:hAnsi="Times New Roman"/>
          <w:b/>
          <w:sz w:val="28"/>
          <w:szCs w:val="28"/>
          <w:lang w:val="sr-Latn-BA"/>
        </w:rPr>
        <w:t>period</w:t>
      </w:r>
      <w:r w:rsidR="00E859D9" w:rsidRPr="00F837C2">
        <w:rPr>
          <w:rFonts w:ascii="Times New Roman" w:hAnsi="Times New Roman"/>
          <w:b/>
          <w:sz w:val="28"/>
          <w:szCs w:val="28"/>
          <w:lang w:val="sr-Latn-BA"/>
        </w:rPr>
        <w:t xml:space="preserve"> </w:t>
      </w:r>
    </w:p>
    <w:p w14:paraId="2F364A45" w14:textId="17AD97D6" w:rsidR="006E6A02" w:rsidRPr="00F837C2" w:rsidRDefault="00A14A56" w:rsidP="00037633">
      <w:pPr>
        <w:pStyle w:val="NoSpacing"/>
        <w:jc w:val="center"/>
        <w:rPr>
          <w:rFonts w:ascii="Times New Roman" w:hAnsi="Times New Roman"/>
          <w:b/>
          <w:bCs/>
          <w:sz w:val="28"/>
          <w:szCs w:val="28"/>
          <w:lang w:val="sr-Latn-BA"/>
        </w:rPr>
      </w:pPr>
      <w:r>
        <w:rPr>
          <w:rFonts w:ascii="Times New Roman" w:hAnsi="Times New Roman"/>
          <w:b/>
          <w:sz w:val="28"/>
          <w:szCs w:val="28"/>
          <w:lang w:val="sr-Latn-BA"/>
        </w:rPr>
        <w:t xml:space="preserve">od </w:t>
      </w:r>
      <w:r w:rsidR="00E859D9" w:rsidRPr="00F837C2">
        <w:rPr>
          <w:rFonts w:ascii="Times New Roman" w:hAnsi="Times New Roman"/>
          <w:b/>
          <w:sz w:val="28"/>
          <w:szCs w:val="28"/>
          <w:lang w:val="sr-Latn-BA"/>
        </w:rPr>
        <w:t>01.01.</w:t>
      </w:r>
      <w:r>
        <w:rPr>
          <w:rFonts w:ascii="Times New Roman" w:hAnsi="Times New Roman"/>
          <w:b/>
          <w:sz w:val="28"/>
          <w:szCs w:val="28"/>
          <w:lang w:val="sr-Latn-BA"/>
        </w:rPr>
        <w:t xml:space="preserve"> do </w:t>
      </w:r>
      <w:r w:rsidR="00EC6DE0" w:rsidRPr="00F837C2">
        <w:rPr>
          <w:rFonts w:ascii="Times New Roman" w:hAnsi="Times New Roman"/>
          <w:b/>
          <w:sz w:val="28"/>
          <w:szCs w:val="28"/>
          <w:lang w:val="sr-Latn-BA"/>
        </w:rPr>
        <w:t>31</w:t>
      </w:r>
      <w:r w:rsidR="00E859D9" w:rsidRPr="00F837C2">
        <w:rPr>
          <w:rFonts w:ascii="Times New Roman" w:hAnsi="Times New Roman"/>
          <w:b/>
          <w:sz w:val="28"/>
          <w:szCs w:val="28"/>
          <w:lang w:val="sr-Latn-BA"/>
        </w:rPr>
        <w:t>.</w:t>
      </w:r>
      <w:r w:rsidR="00EC6DE0" w:rsidRPr="00F837C2">
        <w:rPr>
          <w:rFonts w:ascii="Times New Roman" w:hAnsi="Times New Roman"/>
          <w:b/>
          <w:sz w:val="28"/>
          <w:szCs w:val="28"/>
          <w:lang w:val="sr-Latn-BA"/>
        </w:rPr>
        <w:t>12</w:t>
      </w:r>
      <w:r w:rsidR="00E859D9" w:rsidRPr="00F837C2">
        <w:rPr>
          <w:rFonts w:ascii="Times New Roman" w:hAnsi="Times New Roman"/>
          <w:b/>
          <w:sz w:val="28"/>
          <w:szCs w:val="28"/>
          <w:lang w:val="sr-Latn-BA"/>
        </w:rPr>
        <w:t>.20</w:t>
      </w:r>
      <w:r w:rsidR="004A41A6" w:rsidRPr="00F837C2">
        <w:rPr>
          <w:rFonts w:ascii="Times New Roman" w:hAnsi="Times New Roman"/>
          <w:b/>
          <w:sz w:val="28"/>
          <w:szCs w:val="28"/>
          <w:lang w:val="sr-Latn-BA"/>
        </w:rPr>
        <w:t>2</w:t>
      </w:r>
      <w:r w:rsidR="003F167C" w:rsidRPr="00F837C2">
        <w:rPr>
          <w:rFonts w:ascii="Times New Roman" w:hAnsi="Times New Roman"/>
          <w:b/>
          <w:sz w:val="28"/>
          <w:szCs w:val="28"/>
          <w:lang w:val="sr-Latn-BA"/>
        </w:rPr>
        <w:t>4</w:t>
      </w:r>
      <w:r w:rsidR="00E859D9" w:rsidRPr="00F837C2">
        <w:rPr>
          <w:rFonts w:ascii="Times New Roman" w:hAnsi="Times New Roman"/>
          <w:b/>
          <w:sz w:val="28"/>
          <w:szCs w:val="28"/>
          <w:lang w:val="sr-Latn-BA"/>
        </w:rPr>
        <w:t>.</w:t>
      </w:r>
      <w:r w:rsidR="006E6A02" w:rsidRPr="00F837C2">
        <w:rPr>
          <w:rFonts w:ascii="Times New Roman" w:hAnsi="Times New Roman"/>
          <w:b/>
          <w:bCs/>
          <w:sz w:val="28"/>
          <w:szCs w:val="28"/>
          <w:lang w:val="sr-Latn-BA"/>
        </w:rPr>
        <w:t xml:space="preserve"> </w:t>
      </w:r>
      <w:r w:rsidR="00F837C2" w:rsidRPr="00F837C2">
        <w:rPr>
          <w:rFonts w:ascii="Times New Roman" w:hAnsi="Times New Roman"/>
          <w:b/>
          <w:bCs/>
          <w:sz w:val="28"/>
          <w:szCs w:val="28"/>
          <w:lang w:val="sr-Latn-BA"/>
        </w:rPr>
        <w:t>godinu</w:t>
      </w:r>
    </w:p>
    <w:p w14:paraId="50CC0199" w14:textId="77777777" w:rsidR="006E6A02" w:rsidRPr="00F837C2" w:rsidRDefault="00000000" w:rsidP="00037633">
      <w:pPr>
        <w:pStyle w:val="NoSpacing"/>
        <w:jc w:val="center"/>
        <w:rPr>
          <w:rFonts w:ascii="Times New Roman" w:hAnsi="Times New Roman"/>
          <w:lang w:val="sr-Latn-BA"/>
        </w:rPr>
      </w:pPr>
      <w:hyperlink r:id="rId10" w:history="1">
        <w:r w:rsidR="008E6152" w:rsidRPr="00F837C2">
          <w:rPr>
            <w:rStyle w:val="Hyperlink"/>
            <w:rFonts w:ascii="Times New Roman" w:hAnsi="Times New Roman"/>
            <w:lang w:val="sr-Latn-BA"/>
          </w:rPr>
          <w:t>www.secrs.gov.ba/Izvjestaji/</w:t>
        </w:r>
      </w:hyperlink>
    </w:p>
    <w:p w14:paraId="3D661DD4" w14:textId="77777777" w:rsidR="008E6152" w:rsidRPr="00F837C2" w:rsidRDefault="008E6152" w:rsidP="00037633">
      <w:pPr>
        <w:pStyle w:val="NoSpacing"/>
        <w:jc w:val="center"/>
        <w:rPr>
          <w:rFonts w:ascii="Times New Roman" w:hAnsi="Times New Roman"/>
          <w:lang w:val="sr-Latn-BA"/>
        </w:rPr>
      </w:pPr>
    </w:p>
    <w:p w14:paraId="1193204A" w14:textId="77777777" w:rsidR="008E6152" w:rsidRPr="00F837C2" w:rsidRDefault="008E6152" w:rsidP="00037633">
      <w:pPr>
        <w:pStyle w:val="NoSpacing"/>
        <w:jc w:val="center"/>
        <w:rPr>
          <w:rFonts w:ascii="Times New Roman" w:hAnsi="Times New Roman"/>
          <w:lang w:val="sr-Latn-BA"/>
        </w:rPr>
      </w:pPr>
    </w:p>
    <w:p w14:paraId="544A7B4B" w14:textId="77777777" w:rsidR="00636496" w:rsidRPr="00F837C2" w:rsidRDefault="00636496" w:rsidP="00037633">
      <w:pPr>
        <w:pStyle w:val="NoSpacing"/>
        <w:jc w:val="center"/>
        <w:rPr>
          <w:rFonts w:ascii="Times New Roman" w:hAnsi="Times New Roman"/>
          <w:lang w:val="sr-Latn-BA"/>
        </w:rPr>
      </w:pPr>
    </w:p>
    <w:p w14:paraId="4868BFDE" w14:textId="77777777" w:rsidR="00636496" w:rsidRPr="00F837C2" w:rsidRDefault="00636496" w:rsidP="00037633">
      <w:pPr>
        <w:pStyle w:val="NoSpacing"/>
        <w:jc w:val="center"/>
        <w:rPr>
          <w:rFonts w:ascii="Times New Roman" w:hAnsi="Times New Roman"/>
          <w:lang w:val="sr-Latn-BA"/>
        </w:rPr>
      </w:pPr>
    </w:p>
    <w:p w14:paraId="75957665" w14:textId="77777777" w:rsidR="008E6152" w:rsidRPr="00F837C2" w:rsidRDefault="008E6152" w:rsidP="00037633">
      <w:pPr>
        <w:pStyle w:val="NoSpacing"/>
        <w:jc w:val="center"/>
        <w:rPr>
          <w:rFonts w:ascii="Times New Roman" w:hAnsi="Times New Roman"/>
          <w:bCs/>
          <w:lang w:val="sr-Latn-BA"/>
        </w:rPr>
      </w:pPr>
    </w:p>
    <w:p w14:paraId="01EBFD3A" w14:textId="2DC63675" w:rsidR="000D5EA5" w:rsidRPr="00F837C2" w:rsidRDefault="00F837C2" w:rsidP="004C6172">
      <w:pPr>
        <w:pStyle w:val="Heading1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40" w:lineRule="auto"/>
        <w:ind w:left="567" w:hanging="567"/>
        <w:jc w:val="both"/>
        <w:rPr>
          <w:rFonts w:ascii="Times New Roman" w:hAnsi="Times New Roman"/>
          <w:color w:val="365F91" w:themeColor="accent1" w:themeShade="BF"/>
          <w:sz w:val="28"/>
          <w:lang w:val="sr-Latn-BA"/>
        </w:rPr>
      </w:pPr>
      <w:r w:rsidRPr="00F837C2">
        <w:rPr>
          <w:rFonts w:ascii="Times New Roman" w:hAnsi="Times New Roman"/>
          <w:caps w:val="0"/>
          <w:color w:val="365F91" w:themeColor="accent1" w:themeShade="BF"/>
          <w:sz w:val="28"/>
          <w:lang w:val="sr-Latn-BA"/>
        </w:rPr>
        <w:lastRenderedPageBreak/>
        <w:t>INFORMACIJA</w:t>
      </w:r>
      <w:r w:rsidR="004C6172" w:rsidRPr="00F837C2">
        <w:rPr>
          <w:rFonts w:ascii="Times New Roman" w:hAnsi="Times New Roman"/>
          <w:caps w:val="0"/>
          <w:color w:val="365F91" w:themeColor="accent1" w:themeShade="BF"/>
          <w:sz w:val="28"/>
          <w:lang w:val="sr-Latn-BA"/>
        </w:rPr>
        <w:t xml:space="preserve"> </w:t>
      </w:r>
      <w:r w:rsidRPr="00F837C2">
        <w:rPr>
          <w:rFonts w:ascii="Times New Roman" w:hAnsi="Times New Roman"/>
          <w:caps w:val="0"/>
          <w:color w:val="365F91" w:themeColor="accent1" w:themeShade="BF"/>
          <w:sz w:val="28"/>
          <w:lang w:val="sr-Latn-BA"/>
        </w:rPr>
        <w:t>O</w:t>
      </w:r>
      <w:r w:rsidR="004C6172" w:rsidRPr="00F837C2">
        <w:rPr>
          <w:rFonts w:ascii="Times New Roman" w:hAnsi="Times New Roman"/>
          <w:caps w:val="0"/>
          <w:color w:val="365F91" w:themeColor="accent1" w:themeShade="BF"/>
          <w:sz w:val="28"/>
          <w:lang w:val="sr-Latn-BA"/>
        </w:rPr>
        <w:t xml:space="preserve"> </w:t>
      </w:r>
      <w:r w:rsidRPr="00F837C2">
        <w:rPr>
          <w:rFonts w:ascii="Times New Roman" w:hAnsi="Times New Roman"/>
          <w:caps w:val="0"/>
          <w:color w:val="365F91" w:themeColor="accent1" w:themeShade="BF"/>
          <w:sz w:val="28"/>
          <w:lang w:val="sr-Latn-BA"/>
        </w:rPr>
        <w:t>INSTITUCIJI</w:t>
      </w:r>
    </w:p>
    <w:p w14:paraId="555E4959" w14:textId="26881563" w:rsidR="00BB7C11" w:rsidRPr="00F837C2" w:rsidRDefault="00F837C2" w:rsidP="006F2417">
      <w:pPr>
        <w:spacing w:before="120" w:after="12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sr-Latn-BA"/>
        </w:rPr>
      </w:pPr>
      <w:r w:rsidRPr="00F837C2">
        <w:rPr>
          <w:rFonts w:ascii="Times New Roman" w:hAnsi="Times New Roman"/>
          <w:bCs/>
          <w:sz w:val="24"/>
          <w:szCs w:val="24"/>
          <w:lang w:val="sr-Latn-BA"/>
        </w:rPr>
        <w:t>Komisija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za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hartije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od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vrijednosti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Republike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Srpske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(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u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dalјem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tekstu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: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Komisija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>)</w:t>
      </w:r>
      <w:r w:rsidR="00F9581D" w:rsidRPr="00F837C2">
        <w:rPr>
          <w:rFonts w:ascii="Times New Roman" w:hAnsi="Times New Roman"/>
          <w:bCs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je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ustanovlјena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Zakonom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o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hartijama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od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vrijednosti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.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Odlukom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Narodne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Skupštine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Republike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Srpske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broj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: 01-231/00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od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04.05.2000.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godine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imenovana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je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Komisija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za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hartije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od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vrijednosti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Republike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Srpske</w:t>
      </w:r>
      <w:r w:rsidR="00BA41B6" w:rsidRPr="00F837C2">
        <w:rPr>
          <w:rFonts w:ascii="Times New Roman" w:hAnsi="Times New Roman"/>
          <w:bCs/>
          <w:sz w:val="24"/>
          <w:szCs w:val="24"/>
          <w:lang w:val="sr-Latn-BA"/>
        </w:rPr>
        <w:t>.</w:t>
      </w:r>
    </w:p>
    <w:p w14:paraId="1D30CCC7" w14:textId="19CDA885" w:rsidR="00357450" w:rsidRPr="00F837C2" w:rsidRDefault="00F837C2" w:rsidP="004C6172">
      <w:pPr>
        <w:pStyle w:val="Heading1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40" w:lineRule="auto"/>
        <w:ind w:left="567" w:hanging="567"/>
        <w:jc w:val="both"/>
        <w:rPr>
          <w:rFonts w:ascii="Times New Roman" w:hAnsi="Times New Roman"/>
          <w:color w:val="365F91" w:themeColor="accent1" w:themeShade="BF"/>
          <w:sz w:val="28"/>
          <w:lang w:val="sr-Latn-BA"/>
        </w:rPr>
      </w:pPr>
      <w:r w:rsidRPr="00F837C2">
        <w:rPr>
          <w:rFonts w:ascii="Times New Roman" w:hAnsi="Times New Roman"/>
          <w:color w:val="365F91" w:themeColor="accent1" w:themeShade="BF"/>
          <w:sz w:val="28"/>
          <w:lang w:val="sr-Latn-BA"/>
        </w:rPr>
        <w:t>FINANSIRANјE</w:t>
      </w:r>
      <w:r w:rsidR="00357450" w:rsidRPr="00F837C2">
        <w:rPr>
          <w:rFonts w:ascii="Times New Roman" w:hAnsi="Times New Roman"/>
          <w:color w:val="365F91" w:themeColor="accent1" w:themeShade="BF"/>
          <w:sz w:val="28"/>
          <w:lang w:val="sr-Latn-BA"/>
        </w:rPr>
        <w:t xml:space="preserve"> </w:t>
      </w:r>
      <w:r w:rsidRPr="00F837C2">
        <w:rPr>
          <w:rFonts w:ascii="Times New Roman" w:hAnsi="Times New Roman"/>
          <w:color w:val="365F91" w:themeColor="accent1" w:themeShade="BF"/>
          <w:sz w:val="28"/>
          <w:lang w:val="sr-Latn-BA"/>
        </w:rPr>
        <w:t>KOMISIJE</w:t>
      </w:r>
    </w:p>
    <w:p w14:paraId="742CB8EB" w14:textId="3ABDC61D" w:rsidR="001F4EB5" w:rsidRPr="00F837C2" w:rsidRDefault="00F837C2" w:rsidP="006F2417">
      <w:pPr>
        <w:spacing w:before="120" w:after="120" w:line="240" w:lineRule="auto"/>
        <w:ind w:firstLine="567"/>
        <w:jc w:val="both"/>
        <w:rPr>
          <w:rFonts w:ascii="Times New Roman" w:hAnsi="Times New Roman"/>
          <w:bCs/>
          <w:sz w:val="24"/>
          <w:lang w:val="sr-Latn-BA"/>
        </w:rPr>
      </w:pPr>
      <w:r w:rsidRPr="00F837C2">
        <w:rPr>
          <w:rFonts w:ascii="Times New Roman" w:hAnsi="Times New Roman"/>
          <w:bCs/>
          <w:sz w:val="24"/>
          <w:lang w:val="sr-Latn-BA"/>
        </w:rPr>
        <w:t>Način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finansiranja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Komisije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za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hartije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od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vrijednosti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Republike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Srpske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regulisan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je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članom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259. </w:t>
      </w:r>
      <w:r w:rsidRPr="00F837C2">
        <w:rPr>
          <w:rFonts w:ascii="Times New Roman" w:hAnsi="Times New Roman"/>
          <w:bCs/>
          <w:sz w:val="24"/>
          <w:lang w:val="sr-Latn-BA"/>
        </w:rPr>
        <w:t>Zakona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o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tržištu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hartija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od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vrijednosti</w:t>
      </w:r>
      <w:r w:rsidR="00F9581D" w:rsidRPr="00F837C2">
        <w:rPr>
          <w:rStyle w:val="FootnoteReference"/>
          <w:rFonts w:ascii="Times New Roman" w:hAnsi="Times New Roman"/>
          <w:bCs/>
          <w:sz w:val="24"/>
          <w:lang w:val="sr-Latn-BA"/>
        </w:rPr>
        <w:footnoteReference w:id="1"/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. </w:t>
      </w:r>
      <w:r w:rsidRPr="00F837C2">
        <w:rPr>
          <w:rFonts w:ascii="Times New Roman" w:hAnsi="Times New Roman"/>
          <w:bCs/>
          <w:sz w:val="24"/>
          <w:lang w:val="sr-Latn-BA"/>
        </w:rPr>
        <w:t>U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202</w:t>
      </w:r>
      <w:r w:rsidR="003F167C" w:rsidRPr="00F837C2">
        <w:rPr>
          <w:rFonts w:ascii="Times New Roman" w:hAnsi="Times New Roman"/>
          <w:bCs/>
          <w:sz w:val="24"/>
          <w:lang w:val="sr-Latn-BA"/>
        </w:rPr>
        <w:t>4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. </w:t>
      </w:r>
      <w:r w:rsidRPr="00F837C2">
        <w:rPr>
          <w:rFonts w:ascii="Times New Roman" w:hAnsi="Times New Roman"/>
          <w:bCs/>
          <w:sz w:val="24"/>
          <w:lang w:val="sr-Latn-BA"/>
        </w:rPr>
        <w:t>godini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Komisija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se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finansirala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iz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vlastitih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prihoda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, </w:t>
      </w:r>
      <w:r w:rsidRPr="00F837C2">
        <w:rPr>
          <w:rFonts w:ascii="Times New Roman" w:hAnsi="Times New Roman"/>
          <w:bCs/>
          <w:sz w:val="24"/>
          <w:lang w:val="sr-Latn-BA"/>
        </w:rPr>
        <w:t>ostvarenih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obavlјanjem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poslova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propisanih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Zakonom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o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tržištu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hartija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od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vrijednosti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i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drugim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propisima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,  </w:t>
      </w:r>
      <w:r w:rsidRPr="00F837C2">
        <w:rPr>
          <w:rFonts w:ascii="Times New Roman" w:hAnsi="Times New Roman"/>
          <w:bCs/>
          <w:sz w:val="24"/>
          <w:lang w:val="sr-Latn-BA"/>
        </w:rPr>
        <w:t>ostvarujući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ukupne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prihode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u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iznosu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od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1.</w:t>
      </w:r>
      <w:r w:rsidR="00B0730D" w:rsidRPr="00F837C2">
        <w:rPr>
          <w:rFonts w:ascii="Times New Roman" w:hAnsi="Times New Roman"/>
          <w:bCs/>
          <w:sz w:val="24"/>
          <w:lang w:val="sr-Latn-BA"/>
        </w:rPr>
        <w:t>791</w:t>
      </w:r>
      <w:r w:rsidR="00F9581D" w:rsidRPr="00F837C2">
        <w:rPr>
          <w:rFonts w:ascii="Times New Roman" w:hAnsi="Times New Roman"/>
          <w:bCs/>
          <w:sz w:val="24"/>
          <w:lang w:val="sr-Latn-BA"/>
        </w:rPr>
        <w:t>.</w:t>
      </w:r>
      <w:r w:rsidR="00B0730D" w:rsidRPr="00F837C2">
        <w:rPr>
          <w:rFonts w:ascii="Times New Roman" w:hAnsi="Times New Roman"/>
          <w:bCs/>
          <w:sz w:val="24"/>
          <w:lang w:val="sr-Latn-BA"/>
        </w:rPr>
        <w:t>187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KM</w:t>
      </w:r>
      <w:r w:rsidR="007E74DE" w:rsidRPr="00F837C2">
        <w:rPr>
          <w:rFonts w:ascii="Times New Roman" w:hAnsi="Times New Roman"/>
          <w:bCs/>
          <w:sz w:val="24"/>
          <w:lang w:val="sr-Latn-BA"/>
        </w:rPr>
        <w:t>.</w:t>
      </w:r>
    </w:p>
    <w:tbl>
      <w:tblPr>
        <w:tblStyle w:val="LightGrid-Accent1"/>
        <w:tblW w:w="8653" w:type="dxa"/>
        <w:jc w:val="center"/>
        <w:tblLook w:val="04E0" w:firstRow="1" w:lastRow="1" w:firstColumn="1" w:lastColumn="0" w:noHBand="0" w:noVBand="1"/>
      </w:tblPr>
      <w:tblGrid>
        <w:gridCol w:w="2258"/>
        <w:gridCol w:w="2552"/>
        <w:gridCol w:w="2551"/>
        <w:gridCol w:w="1292"/>
      </w:tblGrid>
      <w:tr w:rsidR="005A1290" w:rsidRPr="00F837C2" w14:paraId="7F61E090" w14:textId="77777777" w:rsidTr="000F4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8" w:type="dxa"/>
            <w:noWrap/>
            <w:hideMark/>
          </w:tcPr>
          <w:p w14:paraId="72BF0C46" w14:textId="77777777" w:rsidR="005A1290" w:rsidRPr="00F837C2" w:rsidRDefault="005A1290" w:rsidP="005A1290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</w:p>
        </w:tc>
        <w:tc>
          <w:tcPr>
            <w:tcW w:w="2552" w:type="dxa"/>
            <w:vAlign w:val="center"/>
            <w:hideMark/>
          </w:tcPr>
          <w:p w14:paraId="2646D1D7" w14:textId="2776E4A7" w:rsidR="005A1290" w:rsidRPr="00F837C2" w:rsidRDefault="00F837C2" w:rsidP="005A1290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Ostvareno</w:t>
            </w:r>
            <w:r w:rsidR="005A1290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u</w:t>
            </w:r>
            <w:r w:rsidR="005A1290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periodu</w:t>
            </w:r>
            <w:r w:rsidR="005A1290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 </w:t>
            </w:r>
            <w:r w:rsidR="005A1290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br/>
            </w:r>
            <w:r w:rsidR="000F45A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od </w:t>
            </w:r>
            <w:r w:rsidR="005A1290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01.01. </w:t>
            </w:r>
            <w:r w:rsidR="000F45A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do </w:t>
            </w:r>
            <w:r w:rsidR="005A1290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31.12.202</w:t>
            </w:r>
            <w:r w:rsidR="003F167C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4</w:t>
            </w:r>
            <w:r w:rsidR="005A1290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. </w:t>
            </w:r>
          </w:p>
        </w:tc>
        <w:tc>
          <w:tcPr>
            <w:tcW w:w="2551" w:type="dxa"/>
            <w:vAlign w:val="center"/>
          </w:tcPr>
          <w:p w14:paraId="4EDFBAE6" w14:textId="5E8FE49A" w:rsidR="005A1290" w:rsidRPr="00F837C2" w:rsidRDefault="00F837C2" w:rsidP="005A1290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Ostvareno</w:t>
            </w:r>
            <w:r w:rsidR="005A1290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u</w:t>
            </w:r>
            <w:r w:rsidR="005A1290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periodu</w:t>
            </w:r>
            <w:r w:rsidR="005A1290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 </w:t>
            </w:r>
            <w:r w:rsidR="005A1290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br/>
            </w:r>
            <w:r w:rsidR="000F45A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od </w:t>
            </w:r>
            <w:r w:rsidR="005A1290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01.01. </w:t>
            </w:r>
            <w:r w:rsidR="000F45A5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do </w:t>
            </w:r>
            <w:r w:rsidR="005A1290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31.12.202</w:t>
            </w:r>
            <w:r w:rsidR="003F167C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3</w:t>
            </w:r>
            <w:r w:rsidR="005A1290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. </w:t>
            </w:r>
          </w:p>
        </w:tc>
        <w:tc>
          <w:tcPr>
            <w:tcW w:w="1292" w:type="dxa"/>
            <w:noWrap/>
            <w:vAlign w:val="center"/>
            <w:hideMark/>
          </w:tcPr>
          <w:p w14:paraId="6F67E24F" w14:textId="7A099921" w:rsidR="005A1290" w:rsidRPr="00F837C2" w:rsidRDefault="00F837C2" w:rsidP="005A1290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Ostvareno</w:t>
            </w:r>
            <w:r w:rsidR="005A1290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 202</w:t>
            </w:r>
            <w:r w:rsidR="003F167C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4</w:t>
            </w:r>
            <w:r w:rsidR="005A1290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/202</w:t>
            </w:r>
            <w:r w:rsidR="003F167C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3</w:t>
            </w:r>
          </w:p>
        </w:tc>
      </w:tr>
      <w:tr w:rsidR="003F167C" w:rsidRPr="00F837C2" w14:paraId="7ECBCCD3" w14:textId="77777777" w:rsidTr="000F4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8" w:type="dxa"/>
            <w:noWrap/>
            <w:hideMark/>
          </w:tcPr>
          <w:p w14:paraId="68F0FBDB" w14:textId="00ABF669" w:rsidR="003F167C" w:rsidRPr="00F837C2" w:rsidRDefault="00F837C2" w:rsidP="003F167C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Poslovni</w:t>
            </w:r>
            <w:r w:rsidR="003F167C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prihodi</w:t>
            </w:r>
          </w:p>
        </w:tc>
        <w:tc>
          <w:tcPr>
            <w:tcW w:w="2552" w:type="dxa"/>
            <w:noWrap/>
            <w:vAlign w:val="center"/>
          </w:tcPr>
          <w:p w14:paraId="7FFAF106" w14:textId="485A0D9F" w:rsidR="003F167C" w:rsidRPr="00F837C2" w:rsidRDefault="003F167C" w:rsidP="003F167C">
            <w:pPr>
              <w:tabs>
                <w:tab w:val="decimal" w:pos="2014"/>
              </w:tabs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1.774.577</w:t>
            </w:r>
          </w:p>
        </w:tc>
        <w:tc>
          <w:tcPr>
            <w:tcW w:w="2551" w:type="dxa"/>
            <w:vAlign w:val="center"/>
          </w:tcPr>
          <w:p w14:paraId="602558AF" w14:textId="70B5B9E5" w:rsidR="003F167C" w:rsidRPr="00F837C2" w:rsidRDefault="003F167C" w:rsidP="003F167C">
            <w:pPr>
              <w:tabs>
                <w:tab w:val="decimal" w:pos="1875"/>
              </w:tabs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1.010.978</w:t>
            </w:r>
          </w:p>
        </w:tc>
        <w:tc>
          <w:tcPr>
            <w:tcW w:w="1292" w:type="dxa"/>
            <w:noWrap/>
            <w:vAlign w:val="center"/>
          </w:tcPr>
          <w:p w14:paraId="0C323FF2" w14:textId="32B43427" w:rsidR="003F167C" w:rsidRPr="00F837C2" w:rsidRDefault="003F167C" w:rsidP="003F167C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1,75</w:t>
            </w:r>
          </w:p>
        </w:tc>
      </w:tr>
      <w:tr w:rsidR="003F167C" w:rsidRPr="00F837C2" w14:paraId="09B3FF9D" w14:textId="77777777" w:rsidTr="000F45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8" w:type="dxa"/>
            <w:hideMark/>
          </w:tcPr>
          <w:p w14:paraId="6B7DB768" w14:textId="30F17151" w:rsidR="003F167C" w:rsidRPr="00F837C2" w:rsidRDefault="00F837C2" w:rsidP="003F167C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Finansijski</w:t>
            </w:r>
            <w:r w:rsidR="003F167C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prihodi</w:t>
            </w:r>
          </w:p>
        </w:tc>
        <w:tc>
          <w:tcPr>
            <w:tcW w:w="2552" w:type="dxa"/>
            <w:noWrap/>
            <w:vAlign w:val="center"/>
          </w:tcPr>
          <w:p w14:paraId="50F1FB41" w14:textId="7131E72C" w:rsidR="003F167C" w:rsidRPr="00F837C2" w:rsidRDefault="003F167C" w:rsidP="003F167C">
            <w:pPr>
              <w:tabs>
                <w:tab w:val="decimal" w:pos="2014"/>
              </w:tabs>
              <w:spacing w:before="0"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16.610</w:t>
            </w:r>
          </w:p>
        </w:tc>
        <w:tc>
          <w:tcPr>
            <w:tcW w:w="2551" w:type="dxa"/>
            <w:vAlign w:val="center"/>
          </w:tcPr>
          <w:p w14:paraId="7CBB2F8E" w14:textId="06A97B62" w:rsidR="003F167C" w:rsidRPr="00F837C2" w:rsidRDefault="003F167C" w:rsidP="003F167C">
            <w:pPr>
              <w:tabs>
                <w:tab w:val="decimal" w:pos="1875"/>
              </w:tabs>
              <w:spacing w:before="0"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5.374</w:t>
            </w:r>
          </w:p>
        </w:tc>
        <w:tc>
          <w:tcPr>
            <w:tcW w:w="1292" w:type="dxa"/>
            <w:noWrap/>
            <w:vAlign w:val="center"/>
          </w:tcPr>
          <w:p w14:paraId="46B0DA50" w14:textId="6FF0FE75" w:rsidR="003F167C" w:rsidRPr="00F837C2" w:rsidRDefault="003F167C" w:rsidP="003F167C">
            <w:pPr>
              <w:spacing w:before="0"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3,09</w:t>
            </w:r>
          </w:p>
        </w:tc>
      </w:tr>
      <w:tr w:rsidR="003F167C" w:rsidRPr="00F837C2" w14:paraId="320B6E76" w14:textId="77777777" w:rsidTr="000F4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8" w:type="dxa"/>
            <w:noWrap/>
            <w:hideMark/>
          </w:tcPr>
          <w:p w14:paraId="5961E7A0" w14:textId="258C8651" w:rsidR="003F167C" w:rsidRPr="00F837C2" w:rsidRDefault="00F837C2" w:rsidP="003F167C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Ostali</w:t>
            </w:r>
            <w:r w:rsidR="003F167C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prihodi</w:t>
            </w:r>
          </w:p>
        </w:tc>
        <w:tc>
          <w:tcPr>
            <w:tcW w:w="2552" w:type="dxa"/>
            <w:noWrap/>
            <w:vAlign w:val="center"/>
          </w:tcPr>
          <w:p w14:paraId="1BFFCACE" w14:textId="125B2B0E" w:rsidR="003F167C" w:rsidRPr="00F837C2" w:rsidRDefault="003F167C" w:rsidP="003F167C">
            <w:pPr>
              <w:tabs>
                <w:tab w:val="decimal" w:pos="2014"/>
              </w:tabs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0</w:t>
            </w:r>
          </w:p>
        </w:tc>
        <w:tc>
          <w:tcPr>
            <w:tcW w:w="2551" w:type="dxa"/>
            <w:vAlign w:val="center"/>
          </w:tcPr>
          <w:p w14:paraId="3EB70A6C" w14:textId="2EEF1560" w:rsidR="003F167C" w:rsidRPr="00F837C2" w:rsidRDefault="003F167C" w:rsidP="003F167C">
            <w:pPr>
              <w:tabs>
                <w:tab w:val="decimal" w:pos="1875"/>
              </w:tabs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0</w:t>
            </w:r>
          </w:p>
        </w:tc>
        <w:tc>
          <w:tcPr>
            <w:tcW w:w="1292" w:type="dxa"/>
            <w:noWrap/>
            <w:vAlign w:val="center"/>
          </w:tcPr>
          <w:p w14:paraId="7E5C3287" w14:textId="43C52F38" w:rsidR="003F167C" w:rsidRPr="00F837C2" w:rsidRDefault="003F167C" w:rsidP="003F167C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/</w:t>
            </w:r>
          </w:p>
        </w:tc>
      </w:tr>
      <w:tr w:rsidR="003F167C" w:rsidRPr="00F837C2" w14:paraId="370190FB" w14:textId="77777777" w:rsidTr="000F45A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8" w:type="dxa"/>
            <w:noWrap/>
          </w:tcPr>
          <w:p w14:paraId="01409B01" w14:textId="5AAEDBE3" w:rsidR="003F167C" w:rsidRPr="00F837C2" w:rsidRDefault="00F837C2" w:rsidP="003F167C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Ukupni</w:t>
            </w:r>
            <w:r w:rsidR="003F167C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prihodi</w:t>
            </w:r>
            <w:r w:rsidR="003F167C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 </w:t>
            </w:r>
          </w:p>
        </w:tc>
        <w:tc>
          <w:tcPr>
            <w:tcW w:w="2552" w:type="dxa"/>
            <w:noWrap/>
            <w:vAlign w:val="bottom"/>
          </w:tcPr>
          <w:p w14:paraId="26871EE0" w14:textId="6010528F" w:rsidR="003F167C" w:rsidRPr="00F837C2" w:rsidRDefault="003F167C" w:rsidP="003F167C">
            <w:pPr>
              <w:tabs>
                <w:tab w:val="decimal" w:pos="2014"/>
              </w:tabs>
              <w:spacing w:before="0" w:after="0" w:line="240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1.791.187</w:t>
            </w:r>
          </w:p>
        </w:tc>
        <w:tc>
          <w:tcPr>
            <w:tcW w:w="2551" w:type="dxa"/>
            <w:vAlign w:val="bottom"/>
          </w:tcPr>
          <w:p w14:paraId="1B721969" w14:textId="2513D540" w:rsidR="003F167C" w:rsidRPr="00F837C2" w:rsidRDefault="003F167C" w:rsidP="003F167C">
            <w:pPr>
              <w:tabs>
                <w:tab w:val="decimal" w:pos="1875"/>
              </w:tabs>
              <w:spacing w:before="0" w:after="0" w:line="240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1.016.352</w:t>
            </w:r>
          </w:p>
        </w:tc>
        <w:tc>
          <w:tcPr>
            <w:tcW w:w="1292" w:type="dxa"/>
            <w:noWrap/>
            <w:vAlign w:val="center"/>
          </w:tcPr>
          <w:p w14:paraId="3FEE60BA" w14:textId="4C9C6F1F" w:rsidR="003F167C" w:rsidRPr="00F837C2" w:rsidRDefault="003F167C" w:rsidP="003F167C">
            <w:pPr>
              <w:spacing w:before="0" w:after="0" w:line="240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eastAsia="bs-Latn-BA" w:bidi="ar-SA"/>
              </w:rPr>
              <w:t>1,76</w:t>
            </w:r>
          </w:p>
        </w:tc>
      </w:tr>
    </w:tbl>
    <w:p w14:paraId="7B9983CC" w14:textId="1849BE0A" w:rsidR="006F2417" w:rsidRPr="00F837C2" w:rsidRDefault="00F837C2" w:rsidP="006F2417">
      <w:pPr>
        <w:pStyle w:val="Caption"/>
        <w:tabs>
          <w:tab w:val="left" w:pos="1134"/>
        </w:tabs>
        <w:spacing w:before="120" w:after="0" w:line="240" w:lineRule="auto"/>
        <w:ind w:left="1134" w:hanging="1134"/>
        <w:rPr>
          <w:rFonts w:ascii="Times New Roman" w:hAnsi="Times New Roman"/>
          <w:bCs w:val="0"/>
          <w:sz w:val="24"/>
          <w:szCs w:val="24"/>
          <w:lang w:val="sr-Latn-BA"/>
        </w:rPr>
      </w:pPr>
      <w:r w:rsidRPr="00F837C2">
        <w:rPr>
          <w:rFonts w:ascii="Times New Roman" w:hAnsi="Times New Roman"/>
          <w:bCs w:val="0"/>
          <w:sz w:val="24"/>
          <w:lang w:val="sr-Latn-BA"/>
        </w:rPr>
        <w:t>Tabela</w:t>
      </w:r>
      <w:r w:rsidR="006F2417" w:rsidRPr="00F837C2">
        <w:rPr>
          <w:rFonts w:ascii="Times New Roman" w:hAnsi="Times New Roman"/>
          <w:bCs w:val="0"/>
          <w:sz w:val="24"/>
          <w:lang w:val="sr-Latn-BA"/>
        </w:rPr>
        <w:t xml:space="preserve"> </w:t>
      </w:r>
      <w:r w:rsidR="006F2417" w:rsidRPr="00F837C2">
        <w:rPr>
          <w:rFonts w:ascii="Times New Roman" w:hAnsi="Times New Roman"/>
          <w:bCs w:val="0"/>
          <w:sz w:val="24"/>
          <w:lang w:val="sr-Latn-BA"/>
        </w:rPr>
        <w:fldChar w:fldCharType="begin"/>
      </w:r>
      <w:r w:rsidR="006F2417" w:rsidRPr="00F837C2">
        <w:rPr>
          <w:rFonts w:ascii="Times New Roman" w:hAnsi="Times New Roman"/>
          <w:bCs w:val="0"/>
          <w:sz w:val="24"/>
          <w:lang w:val="sr-Latn-BA"/>
        </w:rPr>
        <w:instrText xml:space="preserve"> SEQ Табела \* ARABIC </w:instrText>
      </w:r>
      <w:r w:rsidR="006F2417" w:rsidRPr="00F837C2">
        <w:rPr>
          <w:rFonts w:ascii="Times New Roman" w:hAnsi="Times New Roman"/>
          <w:bCs w:val="0"/>
          <w:sz w:val="24"/>
          <w:lang w:val="sr-Latn-BA"/>
        </w:rPr>
        <w:fldChar w:fldCharType="separate"/>
      </w:r>
      <w:r w:rsidR="002D2C10" w:rsidRPr="00F837C2">
        <w:rPr>
          <w:rFonts w:ascii="Times New Roman" w:hAnsi="Times New Roman"/>
          <w:bCs w:val="0"/>
          <w:noProof/>
          <w:sz w:val="24"/>
          <w:lang w:val="sr-Latn-BA"/>
        </w:rPr>
        <w:t>1</w:t>
      </w:r>
      <w:r w:rsidR="006F2417" w:rsidRPr="00F837C2">
        <w:rPr>
          <w:rFonts w:ascii="Times New Roman" w:hAnsi="Times New Roman"/>
          <w:bCs w:val="0"/>
          <w:sz w:val="24"/>
          <w:lang w:val="sr-Latn-BA"/>
        </w:rPr>
        <w:fldChar w:fldCharType="end"/>
      </w:r>
      <w:r w:rsidR="006F2417" w:rsidRPr="00F837C2">
        <w:rPr>
          <w:rFonts w:ascii="Times New Roman" w:hAnsi="Times New Roman"/>
          <w:bCs w:val="0"/>
          <w:sz w:val="24"/>
          <w:lang w:val="sr-Latn-BA"/>
        </w:rPr>
        <w:t>.</w:t>
      </w:r>
      <w:r w:rsidR="006F2417" w:rsidRPr="00F837C2">
        <w:rPr>
          <w:rFonts w:ascii="Times New Roman" w:hAnsi="Times New Roman"/>
          <w:bCs w:val="0"/>
          <w:sz w:val="24"/>
          <w:lang w:val="sr-Latn-BA"/>
        </w:rPr>
        <w:tab/>
      </w:r>
      <w:r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Prihodi</w:t>
      </w:r>
      <w:r w:rsidR="006F2417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Komisije</w:t>
      </w:r>
      <w:r w:rsidR="006F2417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u</w:t>
      </w:r>
      <w:r w:rsidR="006F2417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periodu</w:t>
      </w:r>
      <w:r w:rsidR="006F2417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="000F45A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od</w:t>
      </w:r>
      <w:r w:rsidR="006F2417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01.01</w:t>
      </w:r>
      <w:r w:rsidR="000F45A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.</w:t>
      </w:r>
      <w:r w:rsidR="006F2417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="000F45A5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do</w:t>
      </w:r>
      <w:r w:rsidR="006F2417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31.12. 20</w:t>
      </w:r>
      <w:r w:rsidR="00416A35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</w:t>
      </w:r>
      <w:r w:rsidR="003F167C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3</w:t>
      </w:r>
      <w:r w:rsidR="006F2417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. </w:t>
      </w:r>
      <w:r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i</w:t>
      </w:r>
      <w:r w:rsidR="006F2417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20</w:t>
      </w:r>
      <w:r w:rsidR="0090274C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</w:t>
      </w:r>
      <w:r w:rsidR="003F167C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4</w:t>
      </w:r>
      <w:r w:rsidR="006F2417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.</w:t>
      </w:r>
      <w:r w:rsidR="006F2417" w:rsidRPr="00F837C2">
        <w:rPr>
          <w:rFonts w:ascii="Times New Roman" w:hAnsi="Times New Roman"/>
          <w:color w:val="auto"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godine</w:t>
      </w:r>
      <w:r w:rsidR="006F2417" w:rsidRPr="00F837C2">
        <w:rPr>
          <w:rStyle w:val="FootnoteReference"/>
          <w:rFonts w:ascii="Times New Roman" w:hAnsi="Times New Roman"/>
          <w:b w:val="0"/>
          <w:color w:val="auto"/>
          <w:sz w:val="24"/>
          <w:szCs w:val="24"/>
          <w:lang w:val="sr-Latn-BA"/>
        </w:rPr>
        <w:footnoteReference w:id="2"/>
      </w:r>
    </w:p>
    <w:p w14:paraId="4B622EA2" w14:textId="22ECB60E" w:rsidR="00574594" w:rsidRPr="00F837C2" w:rsidRDefault="00F837C2" w:rsidP="006F2417">
      <w:pPr>
        <w:spacing w:before="120" w:after="12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sr-Latn-BA"/>
        </w:rPr>
      </w:pPr>
      <w:r w:rsidRPr="00F837C2">
        <w:rPr>
          <w:rFonts w:ascii="Times New Roman" w:hAnsi="Times New Roman"/>
          <w:bCs/>
          <w:sz w:val="24"/>
          <w:szCs w:val="24"/>
          <w:lang w:val="sr-Latn-BA"/>
        </w:rPr>
        <w:t>Najznačajniji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prihodi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ostvareni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su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po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osnovu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naknada</w:t>
      </w:r>
      <w:r w:rsidR="00B0730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za</w:t>
      </w:r>
      <w:r w:rsidR="00B0730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emisiju</w:t>
      </w:r>
      <w:r w:rsidR="00B0730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,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provođenja</w:t>
      </w:r>
      <w:r w:rsidR="00B0730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nadzora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nad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ovlašćenim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učesnicima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na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tržištu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hartija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od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vrijednosti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,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naknada</w:t>
      </w:r>
      <w:r w:rsidR="00B35336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vezanih</w:t>
      </w:r>
      <w:r w:rsidR="00B35336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za</w:t>
      </w:r>
      <w:r w:rsidR="00B35336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preuzimanje</w:t>
      </w:r>
      <w:r w:rsidR="00B35336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akcionarskih</w:t>
      </w:r>
      <w:r w:rsidR="00B35336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društava</w:t>
      </w:r>
      <w:r w:rsidR="00B35336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,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kao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i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od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naknada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za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osnivanje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i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rad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DUIF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i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IF</w:t>
      </w:r>
      <w:r w:rsidR="00636496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.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Ostvareni</w:t>
      </w:r>
      <w:r w:rsidR="00B35336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prihodi</w:t>
      </w:r>
      <w:r w:rsidR="00B35336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Komisije</w:t>
      </w:r>
      <w:r w:rsidR="00B35336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u</w:t>
      </w:r>
      <w:r w:rsidR="00B35336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202</w:t>
      </w:r>
      <w:r w:rsidR="00B0730D" w:rsidRPr="00F837C2">
        <w:rPr>
          <w:rFonts w:ascii="Times New Roman" w:hAnsi="Times New Roman"/>
          <w:bCs/>
          <w:sz w:val="24"/>
          <w:szCs w:val="24"/>
          <w:lang w:val="sr-Latn-BA"/>
        </w:rPr>
        <w:t>4</w:t>
      </w:r>
      <w:r w:rsidR="00B35336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.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godin</w:t>
      </w:r>
      <w:r w:rsidR="00B0730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e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u</w:t>
      </w:r>
      <w:r w:rsidR="00B0730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odnosu</w:t>
      </w:r>
      <w:r w:rsidR="00B0730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na</w:t>
      </w:r>
      <w:r w:rsidR="00B0730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2023.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godinu</w:t>
      </w:r>
      <w:r w:rsidR="00B0730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imali</w:t>
      </w:r>
      <w:r w:rsidR="00B0730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su</w:t>
      </w:r>
      <w:r w:rsidR="00B0730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rast</w:t>
      </w:r>
      <w:r w:rsidR="00B0730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od</w:t>
      </w:r>
      <w:r w:rsidR="00B0730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76%.</w:t>
      </w:r>
      <w:r w:rsidR="00B35336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</w:p>
    <w:tbl>
      <w:tblPr>
        <w:tblStyle w:val="LightGrid-Accent1"/>
        <w:tblW w:w="9377" w:type="dxa"/>
        <w:jc w:val="center"/>
        <w:tblLayout w:type="fixed"/>
        <w:tblLook w:val="0460" w:firstRow="1" w:lastRow="1" w:firstColumn="0" w:lastColumn="0" w:noHBand="0" w:noVBand="1"/>
      </w:tblPr>
      <w:tblGrid>
        <w:gridCol w:w="5183"/>
        <w:gridCol w:w="1418"/>
        <w:gridCol w:w="1417"/>
        <w:gridCol w:w="1359"/>
      </w:tblGrid>
      <w:tr w:rsidR="005A1290" w:rsidRPr="00F837C2" w14:paraId="225E4BBB" w14:textId="77777777" w:rsidTr="00F24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tcW w:w="5183" w:type="dxa"/>
            <w:noWrap/>
            <w:hideMark/>
          </w:tcPr>
          <w:p w14:paraId="10A3CAB5" w14:textId="5F6B0909" w:rsidR="005A1290" w:rsidRPr="00F837C2" w:rsidRDefault="00F837C2" w:rsidP="005A1290">
            <w:pPr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>PRIHODI</w:t>
            </w:r>
            <w:r w:rsidR="005A1290" w:rsidRPr="00F837C2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 xml:space="preserve"> </w:t>
            </w:r>
          </w:p>
        </w:tc>
        <w:tc>
          <w:tcPr>
            <w:tcW w:w="1418" w:type="dxa"/>
            <w:noWrap/>
            <w:hideMark/>
          </w:tcPr>
          <w:p w14:paraId="76A42AA9" w14:textId="1030BFB0" w:rsidR="005A1290" w:rsidRPr="00F837C2" w:rsidRDefault="00F837C2" w:rsidP="005A129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>Ostvarenje</w:t>
            </w:r>
            <w:r w:rsidR="005A1290" w:rsidRPr="00F837C2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 xml:space="preserve"> 202</w:t>
            </w:r>
            <w:r w:rsidR="00491DBB" w:rsidRPr="00F837C2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>4</w:t>
            </w:r>
            <w:r w:rsidR="005A1290" w:rsidRPr="00F837C2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 xml:space="preserve">. </w:t>
            </w:r>
          </w:p>
        </w:tc>
        <w:tc>
          <w:tcPr>
            <w:tcW w:w="1417" w:type="dxa"/>
            <w:noWrap/>
            <w:hideMark/>
          </w:tcPr>
          <w:p w14:paraId="13059C58" w14:textId="7B43DCD6" w:rsidR="005A1290" w:rsidRPr="00F837C2" w:rsidRDefault="00F837C2" w:rsidP="005A129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>Ostvarenje</w:t>
            </w:r>
            <w:r w:rsidR="005A1290" w:rsidRPr="00F837C2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 xml:space="preserve"> 202</w:t>
            </w:r>
            <w:r w:rsidR="003F167C" w:rsidRPr="00F837C2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>3</w:t>
            </w:r>
            <w:r w:rsidR="005A1290" w:rsidRPr="00F837C2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 xml:space="preserve">. </w:t>
            </w:r>
          </w:p>
        </w:tc>
        <w:tc>
          <w:tcPr>
            <w:tcW w:w="1359" w:type="dxa"/>
            <w:noWrap/>
            <w:hideMark/>
          </w:tcPr>
          <w:p w14:paraId="43941108" w14:textId="324E0D47" w:rsidR="005A1290" w:rsidRPr="00F837C2" w:rsidRDefault="00F837C2" w:rsidP="005A129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>Ostvareno</w:t>
            </w:r>
            <w:r w:rsidR="005A1290" w:rsidRPr="00F837C2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 xml:space="preserve"> 202</w:t>
            </w:r>
            <w:r w:rsidR="003F167C" w:rsidRPr="00F837C2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>4</w:t>
            </w:r>
            <w:r w:rsidR="005A1290" w:rsidRPr="00F837C2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>/202</w:t>
            </w:r>
            <w:r w:rsidR="003F167C" w:rsidRPr="00F837C2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>3</w:t>
            </w:r>
          </w:p>
        </w:tc>
      </w:tr>
      <w:tr w:rsidR="003F167C" w:rsidRPr="00F837C2" w14:paraId="7FB0685F" w14:textId="77777777" w:rsidTr="00F24C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5183" w:type="dxa"/>
            <w:noWrap/>
            <w:hideMark/>
          </w:tcPr>
          <w:p w14:paraId="168C0706" w14:textId="4477E43A" w:rsidR="003F167C" w:rsidRPr="00F837C2" w:rsidRDefault="00F837C2" w:rsidP="003F167C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Prihodi</w:t>
            </w:r>
            <w:r w:rsidR="003F167C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od</w:t>
            </w:r>
            <w:r w:rsidR="003F167C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ispita</w:t>
            </w:r>
          </w:p>
        </w:tc>
        <w:tc>
          <w:tcPr>
            <w:tcW w:w="1418" w:type="dxa"/>
            <w:noWrap/>
            <w:vAlign w:val="center"/>
          </w:tcPr>
          <w:p w14:paraId="14F62C9A" w14:textId="33299389" w:rsidR="003F167C" w:rsidRPr="00F837C2" w:rsidRDefault="003F167C" w:rsidP="003F167C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4319C4FF" w14:textId="3712FEC9" w:rsidR="003F167C" w:rsidRPr="00F837C2" w:rsidRDefault="003F167C" w:rsidP="003F167C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1.300</w:t>
            </w:r>
          </w:p>
        </w:tc>
        <w:tc>
          <w:tcPr>
            <w:tcW w:w="1359" w:type="dxa"/>
            <w:noWrap/>
            <w:vAlign w:val="center"/>
          </w:tcPr>
          <w:p w14:paraId="4EA73531" w14:textId="12BC9C6D" w:rsidR="003F167C" w:rsidRPr="00F837C2" w:rsidRDefault="003F167C" w:rsidP="003F167C">
            <w:pPr>
              <w:tabs>
                <w:tab w:val="decimal" w:pos="811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/</w:t>
            </w:r>
          </w:p>
        </w:tc>
      </w:tr>
      <w:tr w:rsidR="00800E69" w:rsidRPr="00F837C2" w14:paraId="7BF108DA" w14:textId="77777777" w:rsidTr="00F24C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5183" w:type="dxa"/>
            <w:noWrap/>
            <w:hideMark/>
          </w:tcPr>
          <w:p w14:paraId="2DA100F8" w14:textId="076D7161" w:rsidR="00800E69" w:rsidRPr="00F837C2" w:rsidRDefault="00F837C2" w:rsidP="00800E69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Prihodi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od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naknada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za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emisiju</w:t>
            </w:r>
          </w:p>
        </w:tc>
        <w:tc>
          <w:tcPr>
            <w:tcW w:w="1418" w:type="dxa"/>
            <w:noWrap/>
            <w:vAlign w:val="center"/>
          </w:tcPr>
          <w:p w14:paraId="14AEF8B2" w14:textId="0A287D44" w:rsidR="00800E69" w:rsidRPr="00F837C2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964.708</w:t>
            </w:r>
          </w:p>
        </w:tc>
        <w:tc>
          <w:tcPr>
            <w:tcW w:w="1417" w:type="dxa"/>
            <w:noWrap/>
            <w:vAlign w:val="center"/>
          </w:tcPr>
          <w:p w14:paraId="17878CE6" w14:textId="6EC52442" w:rsidR="00800E69" w:rsidRPr="00F837C2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85.262</w:t>
            </w:r>
          </w:p>
        </w:tc>
        <w:tc>
          <w:tcPr>
            <w:tcW w:w="1359" w:type="dxa"/>
            <w:noWrap/>
            <w:vAlign w:val="center"/>
          </w:tcPr>
          <w:p w14:paraId="46350AED" w14:textId="30CC21E7" w:rsidR="00800E69" w:rsidRPr="00F837C2" w:rsidRDefault="00800E69" w:rsidP="00800E69">
            <w:pPr>
              <w:tabs>
                <w:tab w:val="decimal" w:pos="811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11,31</w:t>
            </w:r>
          </w:p>
        </w:tc>
      </w:tr>
      <w:tr w:rsidR="00800E69" w:rsidRPr="00F837C2" w14:paraId="27629043" w14:textId="77777777" w:rsidTr="00F24C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5183" w:type="dxa"/>
            <w:noWrap/>
            <w:hideMark/>
          </w:tcPr>
          <w:p w14:paraId="68ED7C78" w14:textId="6ED428B6" w:rsidR="00800E69" w:rsidRPr="00F837C2" w:rsidRDefault="00F837C2" w:rsidP="00800E69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Prihodi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od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nadzora</w:t>
            </w:r>
          </w:p>
        </w:tc>
        <w:tc>
          <w:tcPr>
            <w:tcW w:w="1418" w:type="dxa"/>
            <w:noWrap/>
            <w:vAlign w:val="center"/>
          </w:tcPr>
          <w:p w14:paraId="79CCE95F" w14:textId="776FA4FA" w:rsidR="00800E69" w:rsidRPr="00F837C2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570.193</w:t>
            </w:r>
          </w:p>
        </w:tc>
        <w:tc>
          <w:tcPr>
            <w:tcW w:w="1417" w:type="dxa"/>
            <w:noWrap/>
            <w:vAlign w:val="center"/>
          </w:tcPr>
          <w:p w14:paraId="4521E34A" w14:textId="1C0CDD82" w:rsidR="00800E69" w:rsidRPr="00F837C2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605.846</w:t>
            </w:r>
          </w:p>
        </w:tc>
        <w:tc>
          <w:tcPr>
            <w:tcW w:w="1359" w:type="dxa"/>
            <w:noWrap/>
            <w:vAlign w:val="center"/>
          </w:tcPr>
          <w:p w14:paraId="40195870" w14:textId="223D6B65" w:rsidR="00800E69" w:rsidRPr="00F837C2" w:rsidRDefault="00800E69" w:rsidP="00800E69">
            <w:pPr>
              <w:tabs>
                <w:tab w:val="decimal" w:pos="811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0,94</w:t>
            </w:r>
          </w:p>
        </w:tc>
      </w:tr>
      <w:tr w:rsidR="00800E69" w:rsidRPr="00F837C2" w14:paraId="4D2B39AC" w14:textId="77777777" w:rsidTr="00F24C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5183" w:type="dxa"/>
            <w:noWrap/>
            <w:hideMark/>
          </w:tcPr>
          <w:p w14:paraId="0B453070" w14:textId="1B455981" w:rsidR="00800E69" w:rsidRPr="00F837C2" w:rsidRDefault="00F837C2" w:rsidP="00800E69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Prihodi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od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naknada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za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osnivanje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i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rad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ovlaštenih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učesnika</w:t>
            </w:r>
          </w:p>
        </w:tc>
        <w:tc>
          <w:tcPr>
            <w:tcW w:w="1418" w:type="dxa"/>
            <w:noWrap/>
            <w:vAlign w:val="center"/>
          </w:tcPr>
          <w:p w14:paraId="785FE0D9" w14:textId="085E5BCA" w:rsidR="00800E69" w:rsidRPr="00F837C2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55.300</w:t>
            </w:r>
          </w:p>
        </w:tc>
        <w:tc>
          <w:tcPr>
            <w:tcW w:w="1417" w:type="dxa"/>
            <w:noWrap/>
            <w:vAlign w:val="center"/>
          </w:tcPr>
          <w:p w14:paraId="1141CC76" w14:textId="349A7C80" w:rsidR="00800E69" w:rsidRPr="00F837C2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33.000</w:t>
            </w:r>
          </w:p>
        </w:tc>
        <w:tc>
          <w:tcPr>
            <w:tcW w:w="1359" w:type="dxa"/>
            <w:noWrap/>
            <w:vAlign w:val="center"/>
          </w:tcPr>
          <w:p w14:paraId="244D8670" w14:textId="294DB851" w:rsidR="00800E69" w:rsidRPr="00F837C2" w:rsidRDefault="00800E69" w:rsidP="00800E69">
            <w:pPr>
              <w:tabs>
                <w:tab w:val="decimal" w:pos="811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1,68</w:t>
            </w:r>
          </w:p>
        </w:tc>
      </w:tr>
      <w:tr w:rsidR="00800E69" w:rsidRPr="00F837C2" w14:paraId="5E84EFAB" w14:textId="77777777" w:rsidTr="00F24C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5183" w:type="dxa"/>
            <w:noWrap/>
            <w:hideMark/>
          </w:tcPr>
          <w:p w14:paraId="0E50642A" w14:textId="3FC1293E" w:rsidR="00800E69" w:rsidRPr="00F837C2" w:rsidRDefault="00F837C2" w:rsidP="00800E69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Prihodi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od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naknada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za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osnivanje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i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rad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DUIF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i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IF</w:t>
            </w:r>
          </w:p>
        </w:tc>
        <w:tc>
          <w:tcPr>
            <w:tcW w:w="1418" w:type="dxa"/>
            <w:noWrap/>
            <w:vAlign w:val="center"/>
          </w:tcPr>
          <w:p w14:paraId="3D1F4938" w14:textId="7CBE5EFE" w:rsidR="00800E69" w:rsidRPr="00F837C2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51.000</w:t>
            </w:r>
          </w:p>
        </w:tc>
        <w:tc>
          <w:tcPr>
            <w:tcW w:w="1417" w:type="dxa"/>
            <w:noWrap/>
            <w:vAlign w:val="center"/>
          </w:tcPr>
          <w:p w14:paraId="7448B864" w14:textId="25A6FDCA" w:rsidR="00800E69" w:rsidRPr="00F837C2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30.900</w:t>
            </w:r>
          </w:p>
        </w:tc>
        <w:tc>
          <w:tcPr>
            <w:tcW w:w="1359" w:type="dxa"/>
            <w:noWrap/>
            <w:vAlign w:val="center"/>
          </w:tcPr>
          <w:p w14:paraId="24D6C65F" w14:textId="25A4BEDD" w:rsidR="00800E69" w:rsidRPr="00F837C2" w:rsidRDefault="00800E69" w:rsidP="00800E69">
            <w:pPr>
              <w:tabs>
                <w:tab w:val="decimal" w:pos="811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1,65</w:t>
            </w:r>
          </w:p>
        </w:tc>
      </w:tr>
      <w:tr w:rsidR="00800E69" w:rsidRPr="00F837C2" w14:paraId="4E9EF226" w14:textId="77777777" w:rsidTr="00F24C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5183" w:type="dxa"/>
            <w:noWrap/>
            <w:hideMark/>
          </w:tcPr>
          <w:p w14:paraId="2CEB6610" w14:textId="7E3AD1A2" w:rsidR="00800E69" w:rsidRPr="00F837C2" w:rsidRDefault="00F837C2" w:rsidP="00800E69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Prihodi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od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naknada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za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preuzimanje</w:t>
            </w:r>
          </w:p>
        </w:tc>
        <w:tc>
          <w:tcPr>
            <w:tcW w:w="1418" w:type="dxa"/>
            <w:noWrap/>
            <w:vAlign w:val="center"/>
          </w:tcPr>
          <w:p w14:paraId="5DB73FB7" w14:textId="303194C3" w:rsidR="00800E69" w:rsidRPr="00F837C2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106.506</w:t>
            </w:r>
          </w:p>
        </w:tc>
        <w:tc>
          <w:tcPr>
            <w:tcW w:w="1417" w:type="dxa"/>
            <w:noWrap/>
            <w:vAlign w:val="center"/>
          </w:tcPr>
          <w:p w14:paraId="5A142965" w14:textId="1262E635" w:rsidR="00800E69" w:rsidRPr="00F837C2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218.391</w:t>
            </w:r>
          </w:p>
        </w:tc>
        <w:tc>
          <w:tcPr>
            <w:tcW w:w="1359" w:type="dxa"/>
            <w:noWrap/>
            <w:vAlign w:val="center"/>
          </w:tcPr>
          <w:p w14:paraId="5284E055" w14:textId="3C3AEA0B" w:rsidR="00800E69" w:rsidRPr="00F837C2" w:rsidRDefault="00800E69" w:rsidP="00800E69">
            <w:pPr>
              <w:tabs>
                <w:tab w:val="decimal" w:pos="811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0,49</w:t>
            </w:r>
          </w:p>
        </w:tc>
      </w:tr>
      <w:tr w:rsidR="00800E69" w:rsidRPr="00F837C2" w14:paraId="0C678C0F" w14:textId="77777777" w:rsidTr="00F24C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5183" w:type="dxa"/>
            <w:noWrap/>
            <w:hideMark/>
          </w:tcPr>
          <w:p w14:paraId="42BC6A68" w14:textId="75DE6301" w:rsidR="00800E69" w:rsidRPr="00F837C2" w:rsidRDefault="00F837C2" w:rsidP="00800E69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Prihodi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od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naknada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za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RE</w:t>
            </w:r>
          </w:p>
        </w:tc>
        <w:tc>
          <w:tcPr>
            <w:tcW w:w="1418" w:type="dxa"/>
            <w:noWrap/>
            <w:vAlign w:val="center"/>
          </w:tcPr>
          <w:p w14:paraId="514AE003" w14:textId="114A710E" w:rsidR="00800E69" w:rsidRPr="00F837C2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8.400</w:t>
            </w:r>
          </w:p>
        </w:tc>
        <w:tc>
          <w:tcPr>
            <w:tcW w:w="1417" w:type="dxa"/>
            <w:noWrap/>
            <w:vAlign w:val="center"/>
          </w:tcPr>
          <w:p w14:paraId="4080B0D3" w14:textId="77263F17" w:rsidR="00800E69" w:rsidRPr="00F837C2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12.500</w:t>
            </w:r>
          </w:p>
        </w:tc>
        <w:tc>
          <w:tcPr>
            <w:tcW w:w="1359" w:type="dxa"/>
            <w:noWrap/>
            <w:vAlign w:val="center"/>
          </w:tcPr>
          <w:p w14:paraId="240C7169" w14:textId="3B3185F5" w:rsidR="00800E69" w:rsidRPr="00F837C2" w:rsidRDefault="00800E69" w:rsidP="00800E69">
            <w:pPr>
              <w:tabs>
                <w:tab w:val="decimal" w:pos="811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0,67</w:t>
            </w:r>
          </w:p>
        </w:tc>
      </w:tr>
      <w:tr w:rsidR="00800E69" w:rsidRPr="00F837C2" w14:paraId="1C5158D3" w14:textId="77777777" w:rsidTr="00F24C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5183" w:type="dxa"/>
            <w:noWrap/>
            <w:hideMark/>
          </w:tcPr>
          <w:p w14:paraId="7B74D6CA" w14:textId="79D5BA48" w:rsidR="00800E69" w:rsidRPr="00F837C2" w:rsidRDefault="00F837C2" w:rsidP="00800E69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Prihodi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od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kamata</w:t>
            </w:r>
          </w:p>
        </w:tc>
        <w:tc>
          <w:tcPr>
            <w:tcW w:w="1418" w:type="dxa"/>
            <w:noWrap/>
            <w:vAlign w:val="center"/>
          </w:tcPr>
          <w:p w14:paraId="4C60FE31" w14:textId="7B9E647A" w:rsidR="00800E69" w:rsidRPr="00F837C2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16.610</w:t>
            </w:r>
          </w:p>
        </w:tc>
        <w:tc>
          <w:tcPr>
            <w:tcW w:w="1417" w:type="dxa"/>
            <w:noWrap/>
            <w:vAlign w:val="center"/>
          </w:tcPr>
          <w:p w14:paraId="40046C8D" w14:textId="114F4C45" w:rsidR="00800E69" w:rsidRPr="00F837C2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5.374</w:t>
            </w:r>
          </w:p>
        </w:tc>
        <w:tc>
          <w:tcPr>
            <w:tcW w:w="1359" w:type="dxa"/>
            <w:noWrap/>
            <w:vAlign w:val="center"/>
          </w:tcPr>
          <w:p w14:paraId="04C53365" w14:textId="75ECD94C" w:rsidR="00800E69" w:rsidRPr="00F837C2" w:rsidRDefault="00800E69" w:rsidP="00800E69">
            <w:pPr>
              <w:tabs>
                <w:tab w:val="decimal" w:pos="811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3,09</w:t>
            </w:r>
          </w:p>
        </w:tc>
      </w:tr>
      <w:tr w:rsidR="00800E69" w:rsidRPr="00F837C2" w14:paraId="1A7016A1" w14:textId="77777777" w:rsidTr="00F24C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5183" w:type="dxa"/>
            <w:noWrap/>
            <w:hideMark/>
          </w:tcPr>
          <w:p w14:paraId="77C953CA" w14:textId="2FFF33A8" w:rsidR="00800E69" w:rsidRPr="00F837C2" w:rsidRDefault="00F837C2" w:rsidP="00800E69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Prihodi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od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promjene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pravne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forme</w:t>
            </w:r>
          </w:p>
        </w:tc>
        <w:tc>
          <w:tcPr>
            <w:tcW w:w="1418" w:type="dxa"/>
            <w:noWrap/>
            <w:vAlign w:val="center"/>
          </w:tcPr>
          <w:p w14:paraId="01A074FB" w14:textId="37137EC5" w:rsidR="00800E69" w:rsidRPr="00F837C2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15.000</w:t>
            </w:r>
          </w:p>
        </w:tc>
        <w:tc>
          <w:tcPr>
            <w:tcW w:w="1417" w:type="dxa"/>
            <w:noWrap/>
            <w:vAlign w:val="center"/>
          </w:tcPr>
          <w:p w14:paraId="03B479C2" w14:textId="2A2DB0BC" w:rsidR="00800E69" w:rsidRPr="00F837C2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21.000</w:t>
            </w:r>
          </w:p>
        </w:tc>
        <w:tc>
          <w:tcPr>
            <w:tcW w:w="1359" w:type="dxa"/>
            <w:noWrap/>
            <w:vAlign w:val="center"/>
          </w:tcPr>
          <w:p w14:paraId="3DAFC046" w14:textId="1A593BE3" w:rsidR="00800E69" w:rsidRPr="00F837C2" w:rsidRDefault="00800E69" w:rsidP="00800E69">
            <w:pPr>
              <w:tabs>
                <w:tab w:val="decimal" w:pos="811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0,71</w:t>
            </w:r>
          </w:p>
        </w:tc>
      </w:tr>
      <w:tr w:rsidR="00800E69" w:rsidRPr="00F837C2" w14:paraId="3444D24D" w14:textId="77777777" w:rsidTr="00F24C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5183" w:type="dxa"/>
            <w:noWrap/>
            <w:hideMark/>
          </w:tcPr>
          <w:p w14:paraId="5920E6DE" w14:textId="429D8D89" w:rsidR="00800E69" w:rsidRPr="00F837C2" w:rsidRDefault="00F837C2" w:rsidP="00800E69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Ostali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prihodi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u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skladu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sa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Tarifom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naknada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 xml:space="preserve"> (</w:t>
            </w: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upiti</w:t>
            </w:r>
            <w:r w:rsidR="00800E69"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..)</w:t>
            </w:r>
          </w:p>
        </w:tc>
        <w:tc>
          <w:tcPr>
            <w:tcW w:w="1418" w:type="dxa"/>
            <w:noWrap/>
            <w:vAlign w:val="center"/>
          </w:tcPr>
          <w:p w14:paraId="5E45BE52" w14:textId="670602ED" w:rsidR="00800E69" w:rsidRPr="00F837C2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3.470</w:t>
            </w:r>
          </w:p>
        </w:tc>
        <w:tc>
          <w:tcPr>
            <w:tcW w:w="1417" w:type="dxa"/>
            <w:noWrap/>
            <w:vAlign w:val="center"/>
          </w:tcPr>
          <w:p w14:paraId="34A32A4E" w14:textId="35E1E295" w:rsidR="00800E69" w:rsidRPr="00F837C2" w:rsidRDefault="00800E69" w:rsidP="00800E69">
            <w:pPr>
              <w:tabs>
                <w:tab w:val="decimal" w:pos="1096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2.780</w:t>
            </w:r>
          </w:p>
        </w:tc>
        <w:tc>
          <w:tcPr>
            <w:tcW w:w="1359" w:type="dxa"/>
            <w:noWrap/>
            <w:vAlign w:val="center"/>
          </w:tcPr>
          <w:p w14:paraId="729AB5FE" w14:textId="6C5B2FEE" w:rsidR="00800E69" w:rsidRPr="00F837C2" w:rsidRDefault="00800E69" w:rsidP="00800E69">
            <w:pPr>
              <w:tabs>
                <w:tab w:val="decimal" w:pos="811"/>
              </w:tabs>
              <w:spacing w:before="0"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sz w:val="22"/>
                <w:szCs w:val="22"/>
                <w:lang w:val="sr-Latn-BA"/>
              </w:rPr>
              <w:t>1,25</w:t>
            </w:r>
          </w:p>
        </w:tc>
      </w:tr>
      <w:tr w:rsidR="00800E69" w:rsidRPr="00F837C2" w14:paraId="5CA5741A" w14:textId="77777777" w:rsidTr="00F24C4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tcW w:w="5183" w:type="dxa"/>
            <w:noWrap/>
          </w:tcPr>
          <w:p w14:paraId="67F9325D" w14:textId="3DBED59A" w:rsidR="00800E69" w:rsidRPr="00F837C2" w:rsidRDefault="00F837C2" w:rsidP="00800E69">
            <w:pPr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>Ukupnoi</w:t>
            </w:r>
            <w:r w:rsidR="00800E69" w:rsidRPr="00F837C2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 xml:space="preserve"> </w:t>
            </w:r>
            <w:r w:rsidRPr="00F837C2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>prihodi</w:t>
            </w:r>
            <w:r w:rsidR="00800E69" w:rsidRPr="00F837C2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 xml:space="preserve"> </w:t>
            </w:r>
          </w:p>
        </w:tc>
        <w:tc>
          <w:tcPr>
            <w:tcW w:w="1418" w:type="dxa"/>
            <w:noWrap/>
            <w:vAlign w:val="center"/>
          </w:tcPr>
          <w:p w14:paraId="5E0E138B" w14:textId="7EB8ED35" w:rsidR="00800E69" w:rsidRPr="00F837C2" w:rsidRDefault="00800E69" w:rsidP="00800E69">
            <w:pPr>
              <w:tabs>
                <w:tab w:val="decimal" w:pos="965"/>
              </w:tabs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>1.791.187</w:t>
            </w:r>
          </w:p>
        </w:tc>
        <w:tc>
          <w:tcPr>
            <w:tcW w:w="1417" w:type="dxa"/>
            <w:noWrap/>
            <w:vAlign w:val="center"/>
          </w:tcPr>
          <w:p w14:paraId="5D109BB4" w14:textId="35BE3024" w:rsidR="00800E69" w:rsidRPr="00F837C2" w:rsidRDefault="00800E69" w:rsidP="00800E69">
            <w:pPr>
              <w:tabs>
                <w:tab w:val="decimal" w:pos="965"/>
              </w:tabs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>1.016.352</w:t>
            </w:r>
          </w:p>
        </w:tc>
        <w:tc>
          <w:tcPr>
            <w:tcW w:w="1359" w:type="dxa"/>
            <w:noWrap/>
            <w:vAlign w:val="center"/>
          </w:tcPr>
          <w:p w14:paraId="61322AEB" w14:textId="014AADB5" w:rsidR="00800E69" w:rsidRPr="00F837C2" w:rsidRDefault="00800E69" w:rsidP="00800E69">
            <w:pPr>
              <w:tabs>
                <w:tab w:val="decimal" w:pos="811"/>
              </w:tabs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>1,76</w:t>
            </w:r>
          </w:p>
        </w:tc>
      </w:tr>
    </w:tbl>
    <w:p w14:paraId="17D164AD" w14:textId="2FF04B37" w:rsidR="00BD07C5" w:rsidRPr="00F837C2" w:rsidRDefault="00F837C2" w:rsidP="006F2417">
      <w:pPr>
        <w:pStyle w:val="Caption"/>
        <w:tabs>
          <w:tab w:val="left" w:pos="1134"/>
        </w:tabs>
        <w:spacing w:before="120" w:after="0" w:line="240" w:lineRule="auto"/>
        <w:ind w:left="1134" w:hanging="1134"/>
        <w:rPr>
          <w:rFonts w:ascii="Times New Roman" w:hAnsi="Times New Roman"/>
          <w:b w:val="0"/>
          <w:bCs w:val="0"/>
          <w:color w:val="auto"/>
          <w:sz w:val="24"/>
          <w:lang w:val="sr-Latn-BA"/>
        </w:rPr>
      </w:pPr>
      <w:r w:rsidRPr="00F837C2">
        <w:rPr>
          <w:rFonts w:ascii="Times New Roman" w:hAnsi="Times New Roman"/>
          <w:bCs w:val="0"/>
          <w:sz w:val="24"/>
          <w:lang w:val="sr-Latn-BA"/>
        </w:rPr>
        <w:t>Tabela</w:t>
      </w:r>
      <w:r w:rsidR="006F2417" w:rsidRPr="00F837C2">
        <w:rPr>
          <w:rFonts w:ascii="Times New Roman" w:hAnsi="Times New Roman"/>
          <w:bCs w:val="0"/>
          <w:sz w:val="24"/>
          <w:lang w:val="sr-Latn-BA"/>
        </w:rPr>
        <w:t xml:space="preserve"> </w:t>
      </w:r>
      <w:r w:rsidR="006F2417" w:rsidRPr="00F837C2">
        <w:rPr>
          <w:rFonts w:ascii="Times New Roman" w:hAnsi="Times New Roman"/>
          <w:bCs w:val="0"/>
          <w:sz w:val="24"/>
          <w:lang w:val="sr-Latn-BA"/>
        </w:rPr>
        <w:fldChar w:fldCharType="begin"/>
      </w:r>
      <w:r w:rsidR="006F2417" w:rsidRPr="00F837C2">
        <w:rPr>
          <w:rFonts w:ascii="Times New Roman" w:hAnsi="Times New Roman"/>
          <w:bCs w:val="0"/>
          <w:sz w:val="24"/>
          <w:lang w:val="sr-Latn-BA"/>
        </w:rPr>
        <w:instrText xml:space="preserve"> SEQ Табела \* ARABIC </w:instrText>
      </w:r>
      <w:r w:rsidR="006F2417" w:rsidRPr="00F837C2">
        <w:rPr>
          <w:rFonts w:ascii="Times New Roman" w:hAnsi="Times New Roman"/>
          <w:bCs w:val="0"/>
          <w:sz w:val="24"/>
          <w:lang w:val="sr-Latn-BA"/>
        </w:rPr>
        <w:fldChar w:fldCharType="separate"/>
      </w:r>
      <w:r w:rsidR="002D2C10" w:rsidRPr="00F837C2">
        <w:rPr>
          <w:rFonts w:ascii="Times New Roman" w:hAnsi="Times New Roman"/>
          <w:bCs w:val="0"/>
          <w:noProof/>
          <w:sz w:val="24"/>
          <w:lang w:val="sr-Latn-BA"/>
        </w:rPr>
        <w:t>2</w:t>
      </w:r>
      <w:r w:rsidR="006F2417" w:rsidRPr="00F837C2">
        <w:rPr>
          <w:rFonts w:ascii="Times New Roman" w:hAnsi="Times New Roman"/>
          <w:bCs w:val="0"/>
          <w:sz w:val="24"/>
          <w:lang w:val="sr-Latn-BA"/>
        </w:rPr>
        <w:fldChar w:fldCharType="end"/>
      </w:r>
      <w:r w:rsidR="006F2417" w:rsidRPr="00F837C2">
        <w:rPr>
          <w:rFonts w:ascii="Times New Roman" w:hAnsi="Times New Roman"/>
          <w:bCs w:val="0"/>
          <w:sz w:val="24"/>
          <w:lang w:val="sr-Latn-BA"/>
        </w:rPr>
        <w:t>.</w:t>
      </w:r>
      <w:r w:rsidR="006F2417" w:rsidRPr="00F837C2">
        <w:rPr>
          <w:rFonts w:ascii="Times New Roman" w:hAnsi="Times New Roman"/>
          <w:bCs w:val="0"/>
          <w:sz w:val="24"/>
          <w:lang w:val="sr-Latn-BA"/>
        </w:rPr>
        <w:tab/>
      </w:r>
      <w:r w:rsidRPr="00F837C2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Struktura</w:t>
      </w:r>
      <w:r w:rsidR="006F2417" w:rsidRPr="00F837C2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prihoda</w:t>
      </w:r>
      <w:r w:rsidR="006F2417" w:rsidRPr="00F837C2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Komisije</w:t>
      </w:r>
      <w:r w:rsidR="006F2417" w:rsidRPr="00F837C2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u</w:t>
      </w:r>
      <w:r w:rsidR="00417B44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 xml:space="preserve"> 2023. i</w:t>
      </w:r>
      <w:r w:rsidR="006F2417" w:rsidRPr="00F837C2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 xml:space="preserve"> 202</w:t>
      </w:r>
      <w:r w:rsidR="003F167C" w:rsidRPr="00F837C2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4</w:t>
      </w:r>
      <w:r w:rsidR="006F2417" w:rsidRPr="00F837C2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 xml:space="preserve">. </w:t>
      </w:r>
      <w:r w:rsidRPr="00F837C2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godini</w:t>
      </w:r>
    </w:p>
    <w:p w14:paraId="564794AB" w14:textId="17D5036B" w:rsidR="00D77190" w:rsidRPr="00F837C2" w:rsidRDefault="00106E00" w:rsidP="00106E00">
      <w:pPr>
        <w:spacing w:after="120" w:line="240" w:lineRule="auto"/>
        <w:ind w:left="-567"/>
        <w:rPr>
          <w:rFonts w:ascii="Times New Roman" w:hAnsi="Times New Roman"/>
          <w:bCs/>
          <w:sz w:val="24"/>
          <w:lang w:val="sr-Latn-BA"/>
        </w:rPr>
      </w:pPr>
      <w:r>
        <w:rPr>
          <w:noProof/>
        </w:rPr>
        <w:lastRenderedPageBreak/>
        <w:drawing>
          <wp:inline distT="0" distB="0" distL="0" distR="0" wp14:anchorId="61F0EFF8" wp14:editId="7FE0874F">
            <wp:extent cx="6823668" cy="2976245"/>
            <wp:effectExtent l="0" t="0" r="0" b="0"/>
            <wp:docPr id="3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F7BADFE7-1A2C-40B1-961A-6A775922413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998ABC7" w14:textId="1C5866AF" w:rsidR="003172AF" w:rsidRDefault="00F837C2" w:rsidP="00D77190">
      <w:pPr>
        <w:pStyle w:val="Caption"/>
        <w:tabs>
          <w:tab w:val="left" w:pos="1134"/>
        </w:tabs>
        <w:spacing w:before="120" w:after="0" w:line="240" w:lineRule="auto"/>
        <w:jc w:val="both"/>
        <w:rPr>
          <w:rFonts w:ascii="Times New Roman" w:hAnsi="Times New Roman"/>
          <w:b w:val="0"/>
          <w:color w:val="auto"/>
          <w:sz w:val="24"/>
          <w:szCs w:val="24"/>
          <w:lang w:val="sr-Latn-BA"/>
        </w:rPr>
      </w:pPr>
      <w:r w:rsidRPr="00F837C2">
        <w:rPr>
          <w:rFonts w:ascii="Times New Roman" w:hAnsi="Times New Roman"/>
          <w:bCs w:val="0"/>
          <w:sz w:val="24"/>
          <w:lang w:val="sr-Latn-BA"/>
        </w:rPr>
        <w:t>Slika</w:t>
      </w:r>
      <w:r w:rsidR="006F2417" w:rsidRPr="00F837C2">
        <w:rPr>
          <w:rFonts w:ascii="Times New Roman" w:hAnsi="Times New Roman"/>
          <w:bCs w:val="0"/>
          <w:sz w:val="24"/>
          <w:lang w:val="sr-Latn-BA"/>
        </w:rPr>
        <w:t xml:space="preserve"> </w:t>
      </w:r>
      <w:r w:rsidR="006F2417" w:rsidRPr="00F837C2">
        <w:rPr>
          <w:rFonts w:ascii="Times New Roman" w:hAnsi="Times New Roman"/>
          <w:bCs w:val="0"/>
          <w:sz w:val="24"/>
          <w:lang w:val="sr-Latn-BA"/>
        </w:rPr>
        <w:fldChar w:fldCharType="begin"/>
      </w:r>
      <w:r w:rsidR="006F2417" w:rsidRPr="00F837C2">
        <w:rPr>
          <w:rFonts w:ascii="Times New Roman" w:hAnsi="Times New Roman"/>
          <w:bCs w:val="0"/>
          <w:sz w:val="24"/>
          <w:lang w:val="sr-Latn-BA"/>
        </w:rPr>
        <w:instrText xml:space="preserve"> SEQ Графикон \* ARABIC </w:instrText>
      </w:r>
      <w:r w:rsidR="006F2417" w:rsidRPr="00F837C2">
        <w:rPr>
          <w:rFonts w:ascii="Times New Roman" w:hAnsi="Times New Roman"/>
          <w:bCs w:val="0"/>
          <w:sz w:val="24"/>
          <w:lang w:val="sr-Latn-BA"/>
        </w:rPr>
        <w:fldChar w:fldCharType="separate"/>
      </w:r>
      <w:r w:rsidR="002D2C10" w:rsidRPr="00F837C2">
        <w:rPr>
          <w:rFonts w:ascii="Times New Roman" w:hAnsi="Times New Roman"/>
          <w:bCs w:val="0"/>
          <w:noProof/>
          <w:sz w:val="24"/>
          <w:lang w:val="sr-Latn-BA"/>
        </w:rPr>
        <w:t>1</w:t>
      </w:r>
      <w:r w:rsidR="006F2417" w:rsidRPr="00F837C2">
        <w:rPr>
          <w:rFonts w:ascii="Times New Roman" w:hAnsi="Times New Roman"/>
          <w:bCs w:val="0"/>
          <w:sz w:val="24"/>
          <w:lang w:val="sr-Latn-BA"/>
        </w:rPr>
        <w:fldChar w:fldCharType="end"/>
      </w:r>
      <w:r w:rsidR="006F2417" w:rsidRPr="00F837C2">
        <w:rPr>
          <w:rFonts w:ascii="Times New Roman" w:hAnsi="Times New Roman"/>
          <w:bCs w:val="0"/>
          <w:sz w:val="24"/>
          <w:lang w:val="sr-Latn-BA"/>
        </w:rPr>
        <w:t xml:space="preserve">. </w:t>
      </w:r>
      <w:r w:rsidR="006F2417" w:rsidRPr="00F837C2">
        <w:rPr>
          <w:rFonts w:ascii="Times New Roman" w:hAnsi="Times New Roman"/>
          <w:bCs w:val="0"/>
          <w:sz w:val="24"/>
          <w:lang w:val="sr-Latn-BA"/>
        </w:rPr>
        <w:tab/>
      </w:r>
      <w:r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Struktura</w:t>
      </w:r>
      <w:r w:rsidR="006F2417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prihoda</w:t>
      </w:r>
      <w:r w:rsidR="006F2417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Komisije</w:t>
      </w:r>
      <w:r w:rsidR="006F2417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u</w:t>
      </w:r>
      <w:r w:rsidR="006F2417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20</w:t>
      </w:r>
      <w:r w:rsidR="00416A35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</w:t>
      </w:r>
      <w:r w:rsidR="003F167C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3</w:t>
      </w:r>
      <w:r w:rsidR="006F2417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. </w:t>
      </w:r>
      <w:r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i</w:t>
      </w:r>
      <w:r w:rsidR="006F2417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20</w:t>
      </w:r>
      <w:r w:rsidR="0090274C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</w:t>
      </w:r>
      <w:r w:rsidR="003F167C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4</w:t>
      </w:r>
      <w:r w:rsidR="006F2417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.</w:t>
      </w:r>
      <w:r w:rsidR="006F2417" w:rsidRPr="00F837C2">
        <w:rPr>
          <w:rFonts w:ascii="Times New Roman" w:hAnsi="Times New Roman"/>
          <w:color w:val="auto"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godini</w:t>
      </w:r>
    </w:p>
    <w:p w14:paraId="0667F6EF" w14:textId="77777777" w:rsidR="00106E00" w:rsidRPr="00106E00" w:rsidRDefault="00106E00" w:rsidP="00106E00">
      <w:pPr>
        <w:rPr>
          <w:lang w:val="sr-Latn-BA"/>
        </w:rPr>
      </w:pPr>
    </w:p>
    <w:p w14:paraId="1102A213" w14:textId="3454E682" w:rsidR="006E6A02" w:rsidRPr="00F837C2" w:rsidRDefault="00F837C2" w:rsidP="004C6172">
      <w:pPr>
        <w:pStyle w:val="Heading1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40" w:lineRule="auto"/>
        <w:ind w:left="567" w:hanging="567"/>
        <w:jc w:val="both"/>
        <w:rPr>
          <w:rFonts w:ascii="Times New Roman" w:hAnsi="Times New Roman"/>
          <w:color w:val="365F91" w:themeColor="accent1" w:themeShade="BF"/>
          <w:sz w:val="28"/>
          <w:lang w:val="sr-Latn-BA"/>
        </w:rPr>
      </w:pPr>
      <w:r w:rsidRPr="00F837C2">
        <w:rPr>
          <w:rFonts w:ascii="Times New Roman" w:hAnsi="Times New Roman"/>
          <w:color w:val="365F91" w:themeColor="accent1" w:themeShade="BF"/>
          <w:sz w:val="28"/>
          <w:lang w:val="sr-Latn-BA"/>
        </w:rPr>
        <w:t>RASHODI</w:t>
      </w:r>
      <w:r w:rsidR="006E6A02" w:rsidRPr="00F837C2">
        <w:rPr>
          <w:rFonts w:ascii="Times New Roman" w:hAnsi="Times New Roman"/>
          <w:color w:val="365F91" w:themeColor="accent1" w:themeShade="BF"/>
          <w:sz w:val="28"/>
          <w:lang w:val="sr-Latn-BA"/>
        </w:rPr>
        <w:t xml:space="preserve"> </w:t>
      </w:r>
      <w:r w:rsidRPr="00F837C2">
        <w:rPr>
          <w:rFonts w:ascii="Times New Roman" w:hAnsi="Times New Roman"/>
          <w:color w:val="365F91" w:themeColor="accent1" w:themeShade="BF"/>
          <w:sz w:val="28"/>
          <w:lang w:val="sr-Latn-BA"/>
        </w:rPr>
        <w:t>KOMISIJE</w:t>
      </w:r>
    </w:p>
    <w:p w14:paraId="2D106FE5" w14:textId="66F3E14E" w:rsidR="00686FFC" w:rsidRPr="00F837C2" w:rsidRDefault="00F837C2" w:rsidP="006F2417">
      <w:pPr>
        <w:spacing w:before="120" w:after="120" w:line="240" w:lineRule="auto"/>
        <w:ind w:firstLine="567"/>
        <w:jc w:val="both"/>
        <w:rPr>
          <w:rFonts w:ascii="Times New Roman" w:hAnsi="Times New Roman"/>
          <w:bCs/>
          <w:sz w:val="24"/>
          <w:lang w:val="sr-Latn-BA"/>
        </w:rPr>
      </w:pPr>
      <w:r w:rsidRPr="00F837C2">
        <w:rPr>
          <w:rFonts w:ascii="Times New Roman" w:hAnsi="Times New Roman"/>
          <w:bCs/>
          <w:sz w:val="24"/>
          <w:lang w:val="sr-Latn-BA"/>
        </w:rPr>
        <w:t>Rashode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Komisije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prije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svega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čine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materijalni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troškovi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te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troškovi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bruto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zarada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.  </w:t>
      </w:r>
      <w:r w:rsidRPr="00F837C2">
        <w:rPr>
          <w:rFonts w:ascii="Times New Roman" w:hAnsi="Times New Roman"/>
          <w:bCs/>
          <w:sz w:val="24"/>
          <w:lang w:val="sr-Latn-BA"/>
        </w:rPr>
        <w:t>Materijalni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troškovi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se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najvećim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dijelom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odnose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na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troškove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članarina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(IOSCO), </w:t>
      </w:r>
      <w:r w:rsidRPr="00F837C2">
        <w:rPr>
          <w:rFonts w:ascii="Times New Roman" w:hAnsi="Times New Roman"/>
          <w:bCs/>
          <w:sz w:val="24"/>
          <w:lang w:val="sr-Latn-BA"/>
        </w:rPr>
        <w:t>održavanje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računarske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opreme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, </w:t>
      </w:r>
      <w:r w:rsidRPr="00F837C2">
        <w:rPr>
          <w:rFonts w:ascii="Times New Roman" w:hAnsi="Times New Roman"/>
          <w:bCs/>
          <w:sz w:val="24"/>
          <w:lang w:val="sr-Latn-BA"/>
        </w:rPr>
        <w:t>održavanje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prostorija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, </w:t>
      </w:r>
      <w:r w:rsidRPr="00F837C2">
        <w:rPr>
          <w:rFonts w:ascii="Times New Roman" w:hAnsi="Times New Roman"/>
          <w:bCs/>
          <w:sz w:val="24"/>
          <w:lang w:val="sr-Latn-BA"/>
        </w:rPr>
        <w:t>kancelarijski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materijal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, </w:t>
      </w:r>
      <w:r w:rsidRPr="00F837C2">
        <w:rPr>
          <w:rFonts w:ascii="Times New Roman" w:hAnsi="Times New Roman"/>
          <w:bCs/>
          <w:sz w:val="24"/>
          <w:lang w:val="sr-Latn-BA"/>
        </w:rPr>
        <w:t>troškove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telefona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, </w:t>
      </w:r>
      <w:r w:rsidRPr="00F837C2">
        <w:rPr>
          <w:rFonts w:ascii="Times New Roman" w:hAnsi="Times New Roman"/>
          <w:bCs/>
          <w:sz w:val="24"/>
          <w:lang w:val="sr-Latn-BA"/>
        </w:rPr>
        <w:t>interneta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, </w:t>
      </w:r>
      <w:r w:rsidRPr="00F837C2">
        <w:rPr>
          <w:rFonts w:ascii="Times New Roman" w:hAnsi="Times New Roman"/>
          <w:bCs/>
          <w:sz w:val="24"/>
          <w:lang w:val="sr-Latn-BA"/>
        </w:rPr>
        <w:t>električne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energije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, </w:t>
      </w:r>
      <w:r w:rsidRPr="00F837C2">
        <w:rPr>
          <w:rFonts w:ascii="Times New Roman" w:hAnsi="Times New Roman"/>
          <w:bCs/>
          <w:sz w:val="24"/>
          <w:lang w:val="sr-Latn-BA"/>
        </w:rPr>
        <w:t>goriva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, </w:t>
      </w:r>
      <w:r w:rsidRPr="00F837C2">
        <w:rPr>
          <w:rFonts w:ascii="Times New Roman" w:hAnsi="Times New Roman"/>
          <w:bCs/>
          <w:sz w:val="24"/>
          <w:lang w:val="sr-Latn-BA"/>
        </w:rPr>
        <w:t>putnih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troškova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i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drugo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. </w:t>
      </w:r>
      <w:r w:rsidRPr="00F837C2">
        <w:rPr>
          <w:rFonts w:ascii="Times New Roman" w:hAnsi="Times New Roman"/>
          <w:bCs/>
          <w:sz w:val="24"/>
          <w:lang w:val="sr-Latn-BA"/>
        </w:rPr>
        <w:t>Troškove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zarada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čine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troškovi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bruto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zarada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i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naknada</w:t>
      </w:r>
      <w:r w:rsidR="00F9581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zaposlenima</w:t>
      </w:r>
      <w:r w:rsidR="00686FFC" w:rsidRPr="00F837C2">
        <w:rPr>
          <w:rFonts w:ascii="Times New Roman" w:hAnsi="Times New Roman"/>
          <w:bCs/>
          <w:sz w:val="24"/>
          <w:lang w:val="sr-Latn-BA"/>
        </w:rPr>
        <w:t xml:space="preserve">. </w:t>
      </w:r>
    </w:p>
    <w:tbl>
      <w:tblPr>
        <w:tblStyle w:val="LightGrid-Accent1"/>
        <w:tblW w:w="4958" w:type="pct"/>
        <w:jc w:val="center"/>
        <w:tblLayout w:type="fixed"/>
        <w:tblLook w:val="0460" w:firstRow="1" w:lastRow="1" w:firstColumn="0" w:lastColumn="0" w:noHBand="0" w:noVBand="1"/>
      </w:tblPr>
      <w:tblGrid>
        <w:gridCol w:w="5334"/>
        <w:gridCol w:w="1329"/>
        <w:gridCol w:w="1418"/>
        <w:gridCol w:w="850"/>
      </w:tblGrid>
      <w:tr w:rsidR="00416A35" w:rsidRPr="00F837C2" w14:paraId="426329EC" w14:textId="77777777" w:rsidTr="00D006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  <w:jc w:val="center"/>
        </w:trPr>
        <w:tc>
          <w:tcPr>
            <w:tcW w:w="2986" w:type="pct"/>
            <w:noWrap/>
            <w:vAlign w:val="center"/>
            <w:hideMark/>
          </w:tcPr>
          <w:p w14:paraId="6AA1787C" w14:textId="1CA7259B" w:rsidR="00416A35" w:rsidRPr="00F837C2" w:rsidRDefault="00F837C2" w:rsidP="0078054A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RASHODI</w:t>
            </w:r>
          </w:p>
        </w:tc>
        <w:tc>
          <w:tcPr>
            <w:tcW w:w="744" w:type="pct"/>
            <w:vAlign w:val="center"/>
            <w:hideMark/>
          </w:tcPr>
          <w:p w14:paraId="4F981426" w14:textId="3065A69B" w:rsidR="00416A35" w:rsidRPr="00F837C2" w:rsidRDefault="00F837C2" w:rsidP="0078054A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Ostvarenje</w:t>
            </w:r>
            <w:r w:rsidR="00416A35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202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4</w:t>
            </w:r>
            <w:r w:rsidR="00416A35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.</w:t>
            </w:r>
          </w:p>
        </w:tc>
        <w:tc>
          <w:tcPr>
            <w:tcW w:w="794" w:type="pct"/>
            <w:vAlign w:val="center"/>
            <w:hideMark/>
          </w:tcPr>
          <w:p w14:paraId="1849CD40" w14:textId="33F1069A" w:rsidR="00416A35" w:rsidRPr="00F837C2" w:rsidRDefault="00F837C2" w:rsidP="0078054A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Ostvarenje</w:t>
            </w:r>
            <w:r w:rsidR="00416A35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202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3</w:t>
            </w:r>
            <w:r w:rsidR="00416A35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.</w:t>
            </w:r>
          </w:p>
        </w:tc>
        <w:tc>
          <w:tcPr>
            <w:tcW w:w="476" w:type="pct"/>
            <w:vAlign w:val="center"/>
            <w:hideMark/>
          </w:tcPr>
          <w:p w14:paraId="6253C2C0" w14:textId="28317FC6" w:rsidR="00416A35" w:rsidRPr="00F837C2" w:rsidRDefault="00416A35" w:rsidP="0078054A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202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4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/ 20</w:t>
            </w:r>
            <w:r w:rsidR="00D77190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2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3</w:t>
            </w:r>
          </w:p>
        </w:tc>
      </w:tr>
      <w:tr w:rsidR="00491DBB" w:rsidRPr="00F837C2" w14:paraId="6AE2ED4A" w14:textId="77777777" w:rsidTr="00D006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2986" w:type="pct"/>
            <w:hideMark/>
          </w:tcPr>
          <w:p w14:paraId="714C2B55" w14:textId="5A402D70" w:rsidR="00491DBB" w:rsidRPr="00F837C2" w:rsidRDefault="00F837C2" w:rsidP="00491DBB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Troškovi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materijala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,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goriva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i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energije</w:t>
            </w:r>
          </w:p>
        </w:tc>
        <w:tc>
          <w:tcPr>
            <w:tcW w:w="744" w:type="pct"/>
            <w:vAlign w:val="center"/>
          </w:tcPr>
          <w:p w14:paraId="12274B9A" w14:textId="553E3CCA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11.185</w:t>
            </w:r>
          </w:p>
        </w:tc>
        <w:tc>
          <w:tcPr>
            <w:tcW w:w="794" w:type="pct"/>
            <w:vAlign w:val="center"/>
          </w:tcPr>
          <w:p w14:paraId="088BFFD5" w14:textId="57400DBA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10.947</w:t>
            </w:r>
          </w:p>
        </w:tc>
        <w:tc>
          <w:tcPr>
            <w:tcW w:w="476" w:type="pct"/>
            <w:vAlign w:val="center"/>
          </w:tcPr>
          <w:p w14:paraId="7DE23A49" w14:textId="68D11B7F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1,02</w:t>
            </w:r>
          </w:p>
        </w:tc>
      </w:tr>
      <w:tr w:rsidR="00491DBB" w:rsidRPr="00F837C2" w14:paraId="01F1BEAF" w14:textId="77777777" w:rsidTr="00D006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75"/>
          <w:jc w:val="center"/>
        </w:trPr>
        <w:tc>
          <w:tcPr>
            <w:tcW w:w="2986" w:type="pct"/>
            <w:hideMark/>
          </w:tcPr>
          <w:p w14:paraId="1EB629F2" w14:textId="2FA0ACC5" w:rsidR="00491DBB" w:rsidRPr="00F837C2" w:rsidRDefault="00F837C2" w:rsidP="00491DBB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Troškovi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bruto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zarada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i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bruto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naknada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,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ostali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lični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rashodi</w:t>
            </w:r>
          </w:p>
        </w:tc>
        <w:tc>
          <w:tcPr>
            <w:tcW w:w="744" w:type="pct"/>
            <w:vAlign w:val="center"/>
          </w:tcPr>
          <w:p w14:paraId="4D73D858" w14:textId="4FAF0706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908.262</w:t>
            </w:r>
          </w:p>
        </w:tc>
        <w:tc>
          <w:tcPr>
            <w:tcW w:w="794" w:type="pct"/>
            <w:vAlign w:val="center"/>
          </w:tcPr>
          <w:p w14:paraId="703F80FB" w14:textId="4F5B721C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890.366</w:t>
            </w:r>
          </w:p>
        </w:tc>
        <w:tc>
          <w:tcPr>
            <w:tcW w:w="476" w:type="pct"/>
            <w:vAlign w:val="center"/>
          </w:tcPr>
          <w:p w14:paraId="4F44154B" w14:textId="3918CA3A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1,02</w:t>
            </w:r>
          </w:p>
        </w:tc>
      </w:tr>
      <w:tr w:rsidR="00491DBB" w:rsidRPr="00F837C2" w14:paraId="03DF93F6" w14:textId="77777777" w:rsidTr="00D006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2986" w:type="pct"/>
            <w:hideMark/>
          </w:tcPr>
          <w:p w14:paraId="322CEA49" w14:textId="1BB836B7" w:rsidR="00491DBB" w:rsidRPr="00F837C2" w:rsidRDefault="00F837C2" w:rsidP="00491DBB">
            <w:pPr>
              <w:spacing w:before="0" w:after="0" w:line="240" w:lineRule="auto"/>
              <w:ind w:left="439" w:hanging="283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a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)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Troškovi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bruto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zarada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i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bruto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naknada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zarada</w:t>
            </w:r>
          </w:p>
        </w:tc>
        <w:tc>
          <w:tcPr>
            <w:tcW w:w="744" w:type="pct"/>
            <w:noWrap/>
            <w:vAlign w:val="center"/>
          </w:tcPr>
          <w:p w14:paraId="0024BA88" w14:textId="08AD4268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841.937</w:t>
            </w:r>
          </w:p>
        </w:tc>
        <w:tc>
          <w:tcPr>
            <w:tcW w:w="794" w:type="pct"/>
            <w:noWrap/>
            <w:vAlign w:val="center"/>
          </w:tcPr>
          <w:p w14:paraId="1C14ACE1" w14:textId="02357856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810.745</w:t>
            </w:r>
          </w:p>
        </w:tc>
        <w:tc>
          <w:tcPr>
            <w:tcW w:w="476" w:type="pct"/>
            <w:vAlign w:val="center"/>
          </w:tcPr>
          <w:p w14:paraId="6038F36D" w14:textId="0712ECEA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1,04</w:t>
            </w:r>
          </w:p>
        </w:tc>
      </w:tr>
      <w:tr w:rsidR="00491DBB" w:rsidRPr="00F837C2" w14:paraId="6BB9D3E7" w14:textId="77777777" w:rsidTr="00D006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2986" w:type="pct"/>
            <w:hideMark/>
          </w:tcPr>
          <w:p w14:paraId="333C0568" w14:textId="47009450" w:rsidR="00491DBB" w:rsidRPr="00F837C2" w:rsidRDefault="00F837C2" w:rsidP="00491DBB">
            <w:pPr>
              <w:spacing w:before="0" w:after="0" w:line="240" w:lineRule="auto"/>
              <w:ind w:left="439" w:hanging="283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b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)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Ostali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lični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rashodi</w:t>
            </w:r>
          </w:p>
        </w:tc>
        <w:tc>
          <w:tcPr>
            <w:tcW w:w="744" w:type="pct"/>
            <w:noWrap/>
            <w:vAlign w:val="center"/>
          </w:tcPr>
          <w:p w14:paraId="20A833BC" w14:textId="79D93F5C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66.325</w:t>
            </w:r>
          </w:p>
        </w:tc>
        <w:tc>
          <w:tcPr>
            <w:tcW w:w="794" w:type="pct"/>
            <w:noWrap/>
            <w:vAlign w:val="center"/>
          </w:tcPr>
          <w:p w14:paraId="6FD57BAD" w14:textId="58563EC0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79.621</w:t>
            </w:r>
          </w:p>
        </w:tc>
        <w:tc>
          <w:tcPr>
            <w:tcW w:w="476" w:type="pct"/>
            <w:vAlign w:val="center"/>
          </w:tcPr>
          <w:p w14:paraId="6BF68784" w14:textId="7C177850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0,83</w:t>
            </w:r>
          </w:p>
        </w:tc>
      </w:tr>
      <w:tr w:rsidR="00491DBB" w:rsidRPr="00F837C2" w14:paraId="1A9195AD" w14:textId="77777777" w:rsidTr="00D006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2986" w:type="pct"/>
            <w:hideMark/>
          </w:tcPr>
          <w:p w14:paraId="530335FC" w14:textId="7C0A2439" w:rsidR="00491DBB" w:rsidRPr="00F837C2" w:rsidRDefault="00F837C2" w:rsidP="00491DBB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Troškovi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proizvodnih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usluga</w:t>
            </w:r>
          </w:p>
        </w:tc>
        <w:tc>
          <w:tcPr>
            <w:tcW w:w="744" w:type="pct"/>
            <w:vAlign w:val="center"/>
          </w:tcPr>
          <w:p w14:paraId="3D3AE222" w14:textId="1E609360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139.948</w:t>
            </w:r>
          </w:p>
        </w:tc>
        <w:tc>
          <w:tcPr>
            <w:tcW w:w="794" w:type="pct"/>
            <w:vAlign w:val="center"/>
          </w:tcPr>
          <w:p w14:paraId="1702072C" w14:textId="7FB23ED7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48.390</w:t>
            </w:r>
          </w:p>
        </w:tc>
        <w:tc>
          <w:tcPr>
            <w:tcW w:w="476" w:type="pct"/>
            <w:vAlign w:val="center"/>
          </w:tcPr>
          <w:p w14:paraId="43D9EE23" w14:textId="2B6F94D1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2,89</w:t>
            </w:r>
          </w:p>
        </w:tc>
      </w:tr>
      <w:tr w:rsidR="00491DBB" w:rsidRPr="00F837C2" w14:paraId="2B440ABB" w14:textId="77777777" w:rsidTr="00D006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2986" w:type="pct"/>
            <w:hideMark/>
          </w:tcPr>
          <w:p w14:paraId="5E27C2F8" w14:textId="5FFAEE8C" w:rsidR="00491DBB" w:rsidRPr="00F837C2" w:rsidRDefault="00F837C2" w:rsidP="00491DBB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Troškovi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amortizacije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i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otpisa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inventara</w:t>
            </w:r>
          </w:p>
        </w:tc>
        <w:tc>
          <w:tcPr>
            <w:tcW w:w="744" w:type="pct"/>
            <w:vAlign w:val="center"/>
          </w:tcPr>
          <w:p w14:paraId="366F9BFB" w14:textId="7A029387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24.671</w:t>
            </w:r>
          </w:p>
        </w:tc>
        <w:tc>
          <w:tcPr>
            <w:tcW w:w="794" w:type="pct"/>
            <w:vAlign w:val="center"/>
          </w:tcPr>
          <w:p w14:paraId="72BFB7A2" w14:textId="7421AEF2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25.843</w:t>
            </w:r>
          </w:p>
        </w:tc>
        <w:tc>
          <w:tcPr>
            <w:tcW w:w="476" w:type="pct"/>
            <w:vAlign w:val="center"/>
          </w:tcPr>
          <w:p w14:paraId="3FF4BEAF" w14:textId="72ACE439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0,95</w:t>
            </w:r>
          </w:p>
        </w:tc>
      </w:tr>
      <w:tr w:rsidR="00491DBB" w:rsidRPr="00F837C2" w14:paraId="1E18845E" w14:textId="77777777" w:rsidTr="00D006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2986" w:type="pct"/>
            <w:hideMark/>
          </w:tcPr>
          <w:p w14:paraId="6C5C6286" w14:textId="2D2E54FC" w:rsidR="00491DBB" w:rsidRPr="00F837C2" w:rsidRDefault="00F837C2" w:rsidP="00491DBB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Nematerijalni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troškovi</w:t>
            </w:r>
          </w:p>
        </w:tc>
        <w:tc>
          <w:tcPr>
            <w:tcW w:w="744" w:type="pct"/>
            <w:vAlign w:val="center"/>
          </w:tcPr>
          <w:p w14:paraId="2F3CB088" w14:textId="4FE29116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26.331</w:t>
            </w:r>
          </w:p>
        </w:tc>
        <w:tc>
          <w:tcPr>
            <w:tcW w:w="794" w:type="pct"/>
            <w:vAlign w:val="center"/>
          </w:tcPr>
          <w:p w14:paraId="464D2301" w14:textId="4B416908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118.325</w:t>
            </w:r>
          </w:p>
        </w:tc>
        <w:tc>
          <w:tcPr>
            <w:tcW w:w="476" w:type="pct"/>
            <w:vAlign w:val="center"/>
          </w:tcPr>
          <w:p w14:paraId="1844AFCA" w14:textId="6DBC57CA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0,22</w:t>
            </w:r>
          </w:p>
        </w:tc>
      </w:tr>
      <w:tr w:rsidR="00491DBB" w:rsidRPr="00F837C2" w14:paraId="6460DD08" w14:textId="77777777" w:rsidTr="00D006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2986" w:type="pct"/>
            <w:hideMark/>
          </w:tcPr>
          <w:p w14:paraId="2D9AD587" w14:textId="550074E0" w:rsidR="00491DBB" w:rsidRPr="00F837C2" w:rsidRDefault="00F837C2" w:rsidP="00491DBB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Troškovi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poreza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i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doprinosa</w:t>
            </w:r>
          </w:p>
        </w:tc>
        <w:tc>
          <w:tcPr>
            <w:tcW w:w="744" w:type="pct"/>
            <w:vAlign w:val="center"/>
          </w:tcPr>
          <w:p w14:paraId="27FE6B8B" w14:textId="41E4DA53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2.511</w:t>
            </w:r>
          </w:p>
        </w:tc>
        <w:tc>
          <w:tcPr>
            <w:tcW w:w="794" w:type="pct"/>
            <w:vAlign w:val="center"/>
          </w:tcPr>
          <w:p w14:paraId="6670829E" w14:textId="27674022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2.929</w:t>
            </w:r>
          </w:p>
        </w:tc>
        <w:tc>
          <w:tcPr>
            <w:tcW w:w="476" w:type="pct"/>
            <w:vAlign w:val="center"/>
          </w:tcPr>
          <w:p w14:paraId="054FE069" w14:textId="6D80CE9A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0,86</w:t>
            </w:r>
          </w:p>
        </w:tc>
      </w:tr>
      <w:tr w:rsidR="00491DBB" w:rsidRPr="00F837C2" w14:paraId="0007B776" w14:textId="77777777" w:rsidTr="00D006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2986" w:type="pct"/>
            <w:hideMark/>
          </w:tcPr>
          <w:p w14:paraId="730C6148" w14:textId="7E265EE6" w:rsidR="00491DBB" w:rsidRPr="00F837C2" w:rsidRDefault="00F837C2" w:rsidP="00491DBB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Troškovi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IOSCO</w:t>
            </w:r>
          </w:p>
        </w:tc>
        <w:tc>
          <w:tcPr>
            <w:tcW w:w="744" w:type="pct"/>
            <w:vAlign w:val="center"/>
          </w:tcPr>
          <w:p w14:paraId="3CFCFE25" w14:textId="03987A1F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39.801</w:t>
            </w:r>
          </w:p>
        </w:tc>
        <w:tc>
          <w:tcPr>
            <w:tcW w:w="794" w:type="pct"/>
            <w:vAlign w:val="center"/>
          </w:tcPr>
          <w:p w14:paraId="50AE9600" w14:textId="3F14253A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37.583</w:t>
            </w:r>
          </w:p>
        </w:tc>
        <w:tc>
          <w:tcPr>
            <w:tcW w:w="476" w:type="pct"/>
            <w:vAlign w:val="center"/>
          </w:tcPr>
          <w:p w14:paraId="54BD5F8E" w14:textId="0182CB48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1,06</w:t>
            </w:r>
          </w:p>
        </w:tc>
      </w:tr>
      <w:tr w:rsidR="00491DBB" w:rsidRPr="00F837C2" w14:paraId="2BCAE441" w14:textId="77777777" w:rsidTr="00D006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2986" w:type="pct"/>
            <w:hideMark/>
          </w:tcPr>
          <w:p w14:paraId="4315DA6C" w14:textId="07DD15B5" w:rsidR="00491DBB" w:rsidRPr="00F837C2" w:rsidRDefault="00F837C2" w:rsidP="00491DBB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Ostali</w:t>
            </w:r>
            <w:r w:rsidR="00491DBB"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troškovi</w:t>
            </w:r>
          </w:p>
        </w:tc>
        <w:tc>
          <w:tcPr>
            <w:tcW w:w="744" w:type="pct"/>
            <w:vAlign w:val="center"/>
          </w:tcPr>
          <w:p w14:paraId="38692FB0" w14:textId="0B91B42F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0</w:t>
            </w:r>
          </w:p>
        </w:tc>
        <w:tc>
          <w:tcPr>
            <w:tcW w:w="794" w:type="pct"/>
            <w:vAlign w:val="center"/>
          </w:tcPr>
          <w:p w14:paraId="36573ADF" w14:textId="02E509DA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2.000</w:t>
            </w:r>
          </w:p>
        </w:tc>
        <w:tc>
          <w:tcPr>
            <w:tcW w:w="476" w:type="pct"/>
            <w:vAlign w:val="center"/>
          </w:tcPr>
          <w:p w14:paraId="4B7A3EE0" w14:textId="11BD3AD6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/>
              </w:rPr>
              <w:t>0,00</w:t>
            </w:r>
          </w:p>
        </w:tc>
      </w:tr>
      <w:tr w:rsidR="00491DBB" w:rsidRPr="00F837C2" w14:paraId="6EA8721B" w14:textId="77777777" w:rsidTr="00D0062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tcW w:w="2986" w:type="pct"/>
            <w:hideMark/>
          </w:tcPr>
          <w:p w14:paraId="21A35307" w14:textId="043BCFA3" w:rsidR="00491DBB" w:rsidRPr="00F837C2" w:rsidRDefault="00F837C2" w:rsidP="00491DBB">
            <w:pPr>
              <w:spacing w:before="0" w:after="0" w:line="240" w:lineRule="auto"/>
              <w:rPr>
                <w:rFonts w:ascii="Times New Roman" w:hAnsi="Times New Roman"/>
                <w:b w:val="0"/>
                <w:bCs w:val="0"/>
                <w:color w:val="000000"/>
                <w:sz w:val="22"/>
                <w:szCs w:val="22"/>
                <w:lang w:val="sr-Latn-BA" w:bidi="ar-SA"/>
              </w:rPr>
            </w:pPr>
            <w:r w:rsidRPr="00F837C2">
              <w:rPr>
                <w:rFonts w:ascii="Times New Roman" w:hAnsi="Times New Roman"/>
                <w:color w:val="000000"/>
                <w:sz w:val="22"/>
                <w:szCs w:val="22"/>
                <w:lang w:val="sr-Latn-BA" w:bidi="ar-SA"/>
              </w:rPr>
              <w:t>UKUPNO</w:t>
            </w:r>
          </w:p>
        </w:tc>
        <w:tc>
          <w:tcPr>
            <w:tcW w:w="744" w:type="pct"/>
            <w:vAlign w:val="center"/>
          </w:tcPr>
          <w:p w14:paraId="11B4FCFA" w14:textId="6FBA1609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Latn-BA"/>
              </w:rPr>
              <w:t>1.152.709</w:t>
            </w:r>
          </w:p>
        </w:tc>
        <w:tc>
          <w:tcPr>
            <w:tcW w:w="794" w:type="pct"/>
            <w:vAlign w:val="center"/>
          </w:tcPr>
          <w:p w14:paraId="6759B698" w14:textId="27B79343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Latn-BA"/>
              </w:rPr>
              <w:t>1.136.383</w:t>
            </w:r>
          </w:p>
        </w:tc>
        <w:tc>
          <w:tcPr>
            <w:tcW w:w="476" w:type="pct"/>
            <w:vAlign w:val="center"/>
          </w:tcPr>
          <w:p w14:paraId="77BED2C3" w14:textId="2386E7A1" w:rsidR="00491DBB" w:rsidRPr="00F837C2" w:rsidRDefault="00491DBB" w:rsidP="00491DBB">
            <w:pPr>
              <w:tabs>
                <w:tab w:val="decimal" w:pos="928"/>
              </w:tabs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Latn-BA"/>
              </w:rPr>
            </w:pPr>
            <w:r w:rsidRPr="00F837C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sr-Latn-BA"/>
              </w:rPr>
              <w:t>1,01</w:t>
            </w:r>
          </w:p>
        </w:tc>
      </w:tr>
    </w:tbl>
    <w:p w14:paraId="4F2E6BF8" w14:textId="1CACD142" w:rsidR="006F2417" w:rsidRPr="00F837C2" w:rsidRDefault="00F837C2" w:rsidP="006F2417">
      <w:pPr>
        <w:pStyle w:val="Caption"/>
        <w:tabs>
          <w:tab w:val="left" w:pos="1134"/>
        </w:tabs>
        <w:spacing w:before="120" w:after="0" w:line="240" w:lineRule="auto"/>
        <w:ind w:left="1134" w:hanging="1134"/>
        <w:jc w:val="both"/>
        <w:rPr>
          <w:rFonts w:ascii="Times New Roman" w:hAnsi="Times New Roman"/>
          <w:b w:val="0"/>
          <w:color w:val="auto"/>
          <w:sz w:val="24"/>
          <w:szCs w:val="24"/>
          <w:lang w:val="sr-Latn-BA"/>
        </w:rPr>
      </w:pPr>
      <w:r w:rsidRPr="00F837C2">
        <w:rPr>
          <w:rFonts w:ascii="Times New Roman" w:hAnsi="Times New Roman"/>
          <w:bCs w:val="0"/>
          <w:sz w:val="24"/>
          <w:lang w:val="sr-Latn-BA"/>
        </w:rPr>
        <w:t>Tabela</w:t>
      </w:r>
      <w:r w:rsidR="006F2417" w:rsidRPr="00F837C2">
        <w:rPr>
          <w:rFonts w:ascii="Times New Roman" w:hAnsi="Times New Roman"/>
          <w:bCs w:val="0"/>
          <w:sz w:val="24"/>
          <w:lang w:val="sr-Latn-BA"/>
        </w:rPr>
        <w:t xml:space="preserve"> </w:t>
      </w:r>
      <w:r w:rsidR="006F2417" w:rsidRPr="00F837C2">
        <w:rPr>
          <w:rFonts w:ascii="Times New Roman" w:hAnsi="Times New Roman"/>
          <w:bCs w:val="0"/>
          <w:sz w:val="24"/>
          <w:lang w:val="sr-Latn-BA"/>
        </w:rPr>
        <w:fldChar w:fldCharType="begin"/>
      </w:r>
      <w:r w:rsidR="006F2417" w:rsidRPr="00F837C2">
        <w:rPr>
          <w:rFonts w:ascii="Times New Roman" w:hAnsi="Times New Roman"/>
          <w:bCs w:val="0"/>
          <w:sz w:val="24"/>
          <w:lang w:val="sr-Latn-BA"/>
        </w:rPr>
        <w:instrText xml:space="preserve"> SEQ Табела \* ARABIC </w:instrText>
      </w:r>
      <w:r w:rsidR="006F2417" w:rsidRPr="00F837C2">
        <w:rPr>
          <w:rFonts w:ascii="Times New Roman" w:hAnsi="Times New Roman"/>
          <w:bCs w:val="0"/>
          <w:sz w:val="24"/>
          <w:lang w:val="sr-Latn-BA"/>
        </w:rPr>
        <w:fldChar w:fldCharType="separate"/>
      </w:r>
      <w:r w:rsidR="002D2C10" w:rsidRPr="00F837C2">
        <w:rPr>
          <w:rFonts w:ascii="Times New Roman" w:hAnsi="Times New Roman"/>
          <w:bCs w:val="0"/>
          <w:noProof/>
          <w:sz w:val="24"/>
          <w:lang w:val="sr-Latn-BA"/>
        </w:rPr>
        <w:t>3</w:t>
      </w:r>
      <w:r w:rsidR="006F2417" w:rsidRPr="00F837C2">
        <w:rPr>
          <w:rFonts w:ascii="Times New Roman" w:hAnsi="Times New Roman"/>
          <w:bCs w:val="0"/>
          <w:sz w:val="24"/>
          <w:lang w:val="sr-Latn-BA"/>
        </w:rPr>
        <w:fldChar w:fldCharType="end"/>
      </w:r>
      <w:r w:rsidR="006F2417" w:rsidRPr="00F837C2">
        <w:rPr>
          <w:rFonts w:ascii="Times New Roman" w:hAnsi="Times New Roman"/>
          <w:bCs w:val="0"/>
          <w:sz w:val="24"/>
          <w:lang w:val="sr-Latn-BA"/>
        </w:rPr>
        <w:t>.</w:t>
      </w:r>
      <w:r w:rsidR="006F2417" w:rsidRPr="00F837C2">
        <w:rPr>
          <w:rFonts w:ascii="Times New Roman" w:hAnsi="Times New Roman"/>
          <w:bCs w:val="0"/>
          <w:sz w:val="24"/>
          <w:lang w:val="sr-Latn-BA"/>
        </w:rPr>
        <w:tab/>
      </w:r>
      <w:r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Struktura</w:t>
      </w:r>
      <w:r w:rsidR="006F2417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ukupnih</w:t>
      </w:r>
      <w:r w:rsidR="006F2417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rashoda</w:t>
      </w:r>
      <w:r w:rsidR="006F2417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Komisije</w:t>
      </w:r>
      <w:r w:rsidR="006F2417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u</w:t>
      </w:r>
      <w:r w:rsidR="006F2417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202</w:t>
      </w:r>
      <w:r w:rsidR="00491DBB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3</w:t>
      </w:r>
      <w:r w:rsidR="006F2417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. </w:t>
      </w:r>
      <w:r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i</w:t>
      </w:r>
      <w:r w:rsidR="006F2417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20</w:t>
      </w:r>
      <w:r w:rsidR="00416A35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</w:t>
      </w:r>
      <w:r w:rsidR="00491DBB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4</w:t>
      </w:r>
      <w:r w:rsidR="006F2417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.</w:t>
      </w:r>
      <w:r w:rsidR="006F2417" w:rsidRPr="00F837C2">
        <w:rPr>
          <w:rFonts w:ascii="Times New Roman" w:hAnsi="Times New Roman"/>
          <w:color w:val="auto"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godini</w:t>
      </w:r>
    </w:p>
    <w:p w14:paraId="00638319" w14:textId="77777777" w:rsidR="00106E00" w:rsidRDefault="00106E00" w:rsidP="00491DBB">
      <w:pPr>
        <w:spacing w:before="120" w:after="0" w:line="240" w:lineRule="auto"/>
        <w:ind w:firstLine="567"/>
        <w:jc w:val="both"/>
        <w:rPr>
          <w:rFonts w:ascii="Times New Roman" w:hAnsi="Times New Roman"/>
          <w:bCs/>
          <w:sz w:val="24"/>
          <w:lang w:val="sr-Latn-BA"/>
        </w:rPr>
      </w:pPr>
      <w:bookmarkStart w:id="0" w:name="_Hlk133233014"/>
    </w:p>
    <w:p w14:paraId="64CC3A04" w14:textId="77777777" w:rsidR="00106E00" w:rsidRDefault="00106E00" w:rsidP="00491DBB">
      <w:pPr>
        <w:spacing w:before="120" w:after="0" w:line="240" w:lineRule="auto"/>
        <w:ind w:firstLine="567"/>
        <w:jc w:val="both"/>
        <w:rPr>
          <w:rFonts w:ascii="Times New Roman" w:hAnsi="Times New Roman"/>
          <w:bCs/>
          <w:sz w:val="24"/>
          <w:lang w:val="sr-Latn-BA"/>
        </w:rPr>
      </w:pPr>
    </w:p>
    <w:p w14:paraId="22683140" w14:textId="77777777" w:rsidR="00106E00" w:rsidRDefault="00106E00" w:rsidP="00491DBB">
      <w:pPr>
        <w:spacing w:before="120" w:after="0" w:line="240" w:lineRule="auto"/>
        <w:ind w:firstLine="567"/>
        <w:jc w:val="both"/>
        <w:rPr>
          <w:rFonts w:ascii="Times New Roman" w:hAnsi="Times New Roman"/>
          <w:bCs/>
          <w:sz w:val="24"/>
          <w:lang w:val="sr-Latn-BA"/>
        </w:rPr>
      </w:pPr>
    </w:p>
    <w:p w14:paraId="4B155061" w14:textId="09DA9A90" w:rsidR="00BD07C5" w:rsidRDefault="00F837C2" w:rsidP="00491DBB">
      <w:pPr>
        <w:spacing w:before="120" w:after="0" w:line="240" w:lineRule="auto"/>
        <w:ind w:firstLine="567"/>
        <w:jc w:val="both"/>
        <w:rPr>
          <w:rFonts w:ascii="Times New Roman" w:hAnsi="Times New Roman"/>
          <w:bCs/>
          <w:sz w:val="24"/>
          <w:lang w:val="sr-Latn-BA"/>
        </w:rPr>
      </w:pPr>
      <w:r w:rsidRPr="00F837C2">
        <w:rPr>
          <w:rFonts w:ascii="Times New Roman" w:hAnsi="Times New Roman"/>
          <w:bCs/>
          <w:sz w:val="24"/>
          <w:lang w:val="sr-Latn-BA"/>
        </w:rPr>
        <w:lastRenderedPageBreak/>
        <w:t>Iz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prethodne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tabele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vidlјivo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je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da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su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ukupni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 </w:t>
      </w:r>
      <w:r w:rsidRPr="00F837C2">
        <w:rPr>
          <w:rFonts w:ascii="Times New Roman" w:hAnsi="Times New Roman"/>
          <w:bCs/>
          <w:sz w:val="24"/>
          <w:lang w:val="sr-Latn-BA"/>
        </w:rPr>
        <w:t>rashodi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u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202</w:t>
      </w:r>
      <w:r w:rsidR="00B0730D" w:rsidRPr="00F837C2">
        <w:rPr>
          <w:rFonts w:ascii="Times New Roman" w:hAnsi="Times New Roman"/>
          <w:bCs/>
          <w:sz w:val="24"/>
          <w:lang w:val="sr-Latn-BA"/>
        </w:rPr>
        <w:t>4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. </w:t>
      </w:r>
      <w:r w:rsidRPr="00F837C2">
        <w:rPr>
          <w:rFonts w:ascii="Times New Roman" w:hAnsi="Times New Roman"/>
          <w:bCs/>
          <w:sz w:val="24"/>
          <w:lang w:val="sr-Latn-BA"/>
        </w:rPr>
        <w:t>godini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ostvareni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u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iznosu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od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="00D77190" w:rsidRPr="00F837C2">
        <w:rPr>
          <w:rFonts w:ascii="Times New Roman" w:hAnsi="Times New Roman"/>
          <w:color w:val="000000"/>
          <w:sz w:val="24"/>
          <w:szCs w:val="24"/>
          <w:lang w:val="sr-Latn-BA" w:bidi="ar-SA"/>
        </w:rPr>
        <w:t>1.</w:t>
      </w:r>
      <w:r w:rsidR="00B0730D" w:rsidRPr="00F837C2">
        <w:rPr>
          <w:rFonts w:ascii="Times New Roman" w:hAnsi="Times New Roman"/>
          <w:color w:val="000000"/>
          <w:sz w:val="24"/>
          <w:szCs w:val="24"/>
          <w:lang w:val="sr-Latn-BA" w:bidi="ar-SA"/>
        </w:rPr>
        <w:t>152</w:t>
      </w:r>
      <w:r w:rsidR="00D77190" w:rsidRPr="00F837C2">
        <w:rPr>
          <w:rFonts w:ascii="Times New Roman" w:hAnsi="Times New Roman"/>
          <w:color w:val="000000"/>
          <w:sz w:val="24"/>
          <w:szCs w:val="24"/>
          <w:lang w:val="sr-Latn-BA" w:bidi="ar-SA"/>
        </w:rPr>
        <w:t>.</w:t>
      </w:r>
      <w:r w:rsidR="00B0730D" w:rsidRPr="00F837C2">
        <w:rPr>
          <w:rFonts w:ascii="Times New Roman" w:hAnsi="Times New Roman"/>
          <w:color w:val="000000"/>
          <w:sz w:val="24"/>
          <w:szCs w:val="24"/>
          <w:lang w:val="sr-Latn-BA" w:bidi="ar-SA"/>
        </w:rPr>
        <w:t>709</w:t>
      </w:r>
      <w:r w:rsidR="000414AA" w:rsidRPr="00F837C2">
        <w:rPr>
          <w:rFonts w:ascii="Times New Roman" w:hAnsi="Times New Roman"/>
          <w:color w:val="000000"/>
          <w:sz w:val="24"/>
          <w:szCs w:val="24"/>
          <w:lang w:val="sr-Latn-BA" w:bidi="ar-S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KM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, </w:t>
      </w:r>
      <w:r w:rsidRPr="00F837C2">
        <w:rPr>
          <w:rFonts w:ascii="Times New Roman" w:hAnsi="Times New Roman"/>
          <w:bCs/>
          <w:sz w:val="24"/>
          <w:lang w:val="sr-Latn-BA"/>
        </w:rPr>
        <w:t>te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da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su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isti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su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na</w:t>
      </w:r>
      <w:r w:rsidR="00B0730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nivou</w:t>
      </w:r>
      <w:r w:rsidR="00B0730D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ukupnih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rashoda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202</w:t>
      </w:r>
      <w:r w:rsidR="00B0730D" w:rsidRPr="00F837C2">
        <w:rPr>
          <w:rFonts w:ascii="Times New Roman" w:hAnsi="Times New Roman"/>
          <w:bCs/>
          <w:sz w:val="24"/>
          <w:lang w:val="sr-Latn-BA"/>
        </w:rPr>
        <w:t>3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. </w:t>
      </w:r>
      <w:r w:rsidRPr="00F837C2">
        <w:rPr>
          <w:rFonts w:ascii="Times New Roman" w:hAnsi="Times New Roman"/>
          <w:bCs/>
          <w:sz w:val="24"/>
          <w:lang w:val="sr-Latn-BA"/>
        </w:rPr>
        <w:t>godine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. </w:t>
      </w:r>
      <w:r w:rsidRPr="00F837C2">
        <w:rPr>
          <w:rFonts w:ascii="Times New Roman" w:hAnsi="Times New Roman"/>
          <w:bCs/>
          <w:sz w:val="24"/>
          <w:lang w:val="sr-Latn-BA"/>
        </w:rPr>
        <w:t>Najznačajnije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stavke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poslovnih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rashoda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su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troškovi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bruto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zarada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, </w:t>
      </w:r>
      <w:r w:rsidRPr="00F837C2">
        <w:rPr>
          <w:rFonts w:ascii="Times New Roman" w:hAnsi="Times New Roman"/>
          <w:bCs/>
          <w:sz w:val="24"/>
          <w:lang w:val="sr-Latn-BA"/>
        </w:rPr>
        <w:t>dok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kod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materijalnih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troškova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u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najvećem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iznosu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participiraju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troškovi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održavanja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stalnih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sredstava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i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lang w:val="sr-Latn-BA"/>
        </w:rPr>
        <w:t>prostorija</w:t>
      </w:r>
      <w:r w:rsidR="000414AA" w:rsidRPr="00F837C2">
        <w:rPr>
          <w:rFonts w:ascii="Times New Roman" w:hAnsi="Times New Roman"/>
          <w:bCs/>
          <w:sz w:val="24"/>
          <w:lang w:val="sr-Latn-BA"/>
        </w:rPr>
        <w:t xml:space="preserve">. </w:t>
      </w:r>
      <w:bookmarkEnd w:id="0"/>
    </w:p>
    <w:p w14:paraId="1CAC16BD" w14:textId="761016B3" w:rsidR="00106E00" w:rsidRPr="00F837C2" w:rsidRDefault="00106E00" w:rsidP="00106E00">
      <w:pPr>
        <w:spacing w:before="120" w:after="0" w:line="240" w:lineRule="auto"/>
        <w:ind w:left="-567"/>
        <w:jc w:val="both"/>
        <w:rPr>
          <w:rFonts w:ascii="Times New Roman" w:hAnsi="Times New Roman"/>
          <w:bCs/>
          <w:sz w:val="24"/>
          <w:lang w:val="sr-Latn-BA"/>
        </w:rPr>
      </w:pPr>
      <w:r>
        <w:rPr>
          <w:noProof/>
        </w:rPr>
        <w:drawing>
          <wp:inline distT="0" distB="0" distL="0" distR="0" wp14:anchorId="6243CCCF" wp14:editId="1A79D0C3">
            <wp:extent cx="6725752" cy="2916555"/>
            <wp:effectExtent l="0" t="0" r="0" b="0"/>
            <wp:docPr id="6" name="Chart 6">
              <a:extLst xmlns:a="http://schemas.openxmlformats.org/drawingml/2006/main">
                <a:ext uri="{FF2B5EF4-FFF2-40B4-BE49-F238E27FC236}">
                  <a16:creationId xmlns:a16="http://schemas.microsoft.com/office/drawing/2014/main" id="{2711D062-8153-4B9C-8024-CE814187B7E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642D3BB0" w14:textId="0B11AFE8" w:rsidR="008D7FC3" w:rsidRPr="00F837C2" w:rsidRDefault="00F837C2" w:rsidP="00B35336">
      <w:pPr>
        <w:pStyle w:val="Caption"/>
        <w:tabs>
          <w:tab w:val="left" w:pos="1134"/>
        </w:tabs>
        <w:spacing w:before="240" w:after="0" w:line="240" w:lineRule="auto"/>
        <w:ind w:left="1134" w:hanging="1134"/>
        <w:jc w:val="both"/>
        <w:rPr>
          <w:rFonts w:ascii="Times New Roman" w:hAnsi="Times New Roman"/>
          <w:b w:val="0"/>
          <w:bCs w:val="0"/>
          <w:color w:val="auto"/>
          <w:sz w:val="24"/>
          <w:lang w:val="sr-Latn-BA"/>
        </w:rPr>
      </w:pPr>
      <w:r w:rsidRPr="00F837C2">
        <w:rPr>
          <w:rFonts w:ascii="Times New Roman" w:hAnsi="Times New Roman"/>
          <w:bCs w:val="0"/>
          <w:sz w:val="24"/>
          <w:lang w:val="sr-Latn-BA"/>
        </w:rPr>
        <w:t>Slika</w:t>
      </w:r>
      <w:r w:rsidR="008D7FC3" w:rsidRPr="00F837C2">
        <w:rPr>
          <w:rFonts w:ascii="Times New Roman" w:hAnsi="Times New Roman"/>
          <w:bCs w:val="0"/>
          <w:sz w:val="24"/>
          <w:lang w:val="sr-Latn-BA"/>
        </w:rPr>
        <w:t xml:space="preserve"> </w:t>
      </w:r>
      <w:r w:rsidR="008D7FC3" w:rsidRPr="00F837C2">
        <w:rPr>
          <w:rFonts w:ascii="Times New Roman" w:hAnsi="Times New Roman"/>
          <w:bCs w:val="0"/>
          <w:sz w:val="24"/>
          <w:lang w:val="sr-Latn-BA"/>
        </w:rPr>
        <w:fldChar w:fldCharType="begin"/>
      </w:r>
      <w:r w:rsidR="008D7FC3" w:rsidRPr="00F837C2">
        <w:rPr>
          <w:rFonts w:ascii="Times New Roman" w:hAnsi="Times New Roman"/>
          <w:bCs w:val="0"/>
          <w:sz w:val="24"/>
          <w:lang w:val="sr-Latn-BA"/>
        </w:rPr>
        <w:instrText xml:space="preserve"> SEQ Графикон \* ARABIC </w:instrText>
      </w:r>
      <w:r w:rsidR="008D7FC3" w:rsidRPr="00F837C2">
        <w:rPr>
          <w:rFonts w:ascii="Times New Roman" w:hAnsi="Times New Roman"/>
          <w:bCs w:val="0"/>
          <w:sz w:val="24"/>
          <w:lang w:val="sr-Latn-BA"/>
        </w:rPr>
        <w:fldChar w:fldCharType="separate"/>
      </w:r>
      <w:r w:rsidR="002D2C10" w:rsidRPr="00F837C2">
        <w:rPr>
          <w:rFonts w:ascii="Times New Roman" w:hAnsi="Times New Roman"/>
          <w:bCs w:val="0"/>
          <w:noProof/>
          <w:sz w:val="24"/>
          <w:lang w:val="sr-Latn-BA"/>
        </w:rPr>
        <w:t>2</w:t>
      </w:r>
      <w:r w:rsidR="008D7FC3" w:rsidRPr="00F837C2">
        <w:rPr>
          <w:rFonts w:ascii="Times New Roman" w:hAnsi="Times New Roman"/>
          <w:bCs w:val="0"/>
          <w:sz w:val="24"/>
          <w:lang w:val="sr-Latn-BA"/>
        </w:rPr>
        <w:fldChar w:fldCharType="end"/>
      </w:r>
      <w:r w:rsidR="008D7FC3" w:rsidRPr="00F837C2">
        <w:rPr>
          <w:rFonts w:ascii="Times New Roman" w:hAnsi="Times New Roman"/>
          <w:bCs w:val="0"/>
          <w:sz w:val="24"/>
          <w:lang w:val="sr-Latn-BA"/>
        </w:rPr>
        <w:t>.</w:t>
      </w:r>
      <w:r w:rsidR="008D7FC3" w:rsidRPr="00F837C2">
        <w:rPr>
          <w:rFonts w:ascii="Times New Roman" w:hAnsi="Times New Roman"/>
          <w:bCs w:val="0"/>
          <w:sz w:val="24"/>
          <w:lang w:val="sr-Latn-BA"/>
        </w:rPr>
        <w:tab/>
      </w:r>
      <w:r w:rsidRPr="00F837C2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Struktura</w:t>
      </w:r>
      <w:r w:rsidR="008D7FC3" w:rsidRPr="00F837C2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rashoda</w:t>
      </w:r>
      <w:r w:rsidR="008D7FC3" w:rsidRPr="00F837C2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Komisije</w:t>
      </w:r>
      <w:r w:rsidR="008D7FC3" w:rsidRPr="00F837C2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 xml:space="preserve"> </w:t>
      </w:r>
      <w:r w:rsidRPr="00F837C2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u</w:t>
      </w:r>
      <w:r w:rsidR="008D7FC3" w:rsidRPr="00F837C2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 xml:space="preserve"> </w:t>
      </w:r>
      <w:r w:rsidR="00D00629" w:rsidRPr="00F837C2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 xml:space="preserve">2023. </w:t>
      </w:r>
      <w:r w:rsidRPr="00F837C2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i</w:t>
      </w:r>
      <w:r w:rsidR="00D00629" w:rsidRPr="00F837C2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 xml:space="preserve"> </w:t>
      </w:r>
      <w:r w:rsidR="00F9581D" w:rsidRPr="00F837C2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202</w:t>
      </w:r>
      <w:r w:rsidR="00491DBB" w:rsidRPr="00F837C2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4</w:t>
      </w:r>
      <w:r w:rsidR="008D7FC3" w:rsidRPr="00F837C2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 xml:space="preserve">. </w:t>
      </w:r>
      <w:r w:rsidRPr="00F837C2">
        <w:rPr>
          <w:rFonts w:ascii="Times New Roman" w:hAnsi="Times New Roman"/>
          <w:b w:val="0"/>
          <w:bCs w:val="0"/>
          <w:color w:val="auto"/>
          <w:sz w:val="24"/>
          <w:lang w:val="sr-Latn-BA"/>
        </w:rPr>
        <w:t>godini</w:t>
      </w:r>
    </w:p>
    <w:p w14:paraId="3657ACC0" w14:textId="781FFA67" w:rsidR="00CA5311" w:rsidRPr="00F837C2" w:rsidRDefault="00F837C2" w:rsidP="004C6172">
      <w:pPr>
        <w:pStyle w:val="Heading1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40" w:lineRule="auto"/>
        <w:ind w:left="567" w:hanging="567"/>
        <w:jc w:val="both"/>
        <w:rPr>
          <w:rFonts w:ascii="Times New Roman" w:hAnsi="Times New Roman"/>
          <w:color w:val="365F91" w:themeColor="accent1" w:themeShade="BF"/>
          <w:sz w:val="28"/>
          <w:lang w:val="sr-Latn-BA"/>
        </w:rPr>
      </w:pPr>
      <w:r w:rsidRPr="00F837C2">
        <w:rPr>
          <w:rFonts w:ascii="Times New Roman" w:hAnsi="Times New Roman"/>
          <w:caps w:val="0"/>
          <w:color w:val="365F91" w:themeColor="accent1" w:themeShade="BF"/>
          <w:sz w:val="28"/>
          <w:lang w:val="sr-Latn-BA"/>
        </w:rPr>
        <w:t>VIŠAK</w:t>
      </w:r>
      <w:r w:rsidR="004C6172" w:rsidRPr="00F837C2">
        <w:rPr>
          <w:rFonts w:ascii="Times New Roman" w:hAnsi="Times New Roman"/>
          <w:caps w:val="0"/>
          <w:color w:val="365F91" w:themeColor="accent1" w:themeShade="BF"/>
          <w:sz w:val="28"/>
          <w:lang w:val="sr-Latn-BA"/>
        </w:rPr>
        <w:t xml:space="preserve"> </w:t>
      </w:r>
      <w:r w:rsidRPr="00F837C2">
        <w:rPr>
          <w:rFonts w:ascii="Times New Roman" w:hAnsi="Times New Roman"/>
          <w:caps w:val="0"/>
          <w:color w:val="365F91" w:themeColor="accent1" w:themeShade="BF"/>
          <w:sz w:val="28"/>
          <w:lang w:val="sr-Latn-BA"/>
        </w:rPr>
        <w:t>PRIHODA</w:t>
      </w:r>
      <w:r w:rsidR="004C6172" w:rsidRPr="00F837C2">
        <w:rPr>
          <w:rFonts w:ascii="Times New Roman" w:hAnsi="Times New Roman"/>
          <w:caps w:val="0"/>
          <w:color w:val="365F91" w:themeColor="accent1" w:themeShade="BF"/>
          <w:sz w:val="28"/>
          <w:lang w:val="sr-Latn-BA"/>
        </w:rPr>
        <w:t xml:space="preserve"> </w:t>
      </w:r>
      <w:r w:rsidRPr="00F837C2">
        <w:rPr>
          <w:rFonts w:ascii="Times New Roman" w:hAnsi="Times New Roman"/>
          <w:caps w:val="0"/>
          <w:color w:val="365F91" w:themeColor="accent1" w:themeShade="BF"/>
          <w:sz w:val="28"/>
          <w:lang w:val="sr-Latn-BA"/>
        </w:rPr>
        <w:t>NAD</w:t>
      </w:r>
      <w:r w:rsidR="004C6172" w:rsidRPr="00F837C2">
        <w:rPr>
          <w:rFonts w:ascii="Times New Roman" w:hAnsi="Times New Roman"/>
          <w:caps w:val="0"/>
          <w:color w:val="365F91" w:themeColor="accent1" w:themeShade="BF"/>
          <w:sz w:val="28"/>
          <w:lang w:val="sr-Latn-BA"/>
        </w:rPr>
        <w:t xml:space="preserve"> </w:t>
      </w:r>
      <w:r w:rsidRPr="00F837C2">
        <w:rPr>
          <w:rFonts w:ascii="Times New Roman" w:hAnsi="Times New Roman"/>
          <w:caps w:val="0"/>
          <w:color w:val="365F91" w:themeColor="accent1" w:themeShade="BF"/>
          <w:sz w:val="28"/>
          <w:lang w:val="sr-Latn-BA"/>
        </w:rPr>
        <w:t>RASHODIMA</w:t>
      </w:r>
    </w:p>
    <w:p w14:paraId="5C8B051C" w14:textId="3AD52190" w:rsidR="009F3B90" w:rsidRPr="00F837C2" w:rsidRDefault="00F837C2" w:rsidP="00733C71">
      <w:pPr>
        <w:spacing w:before="120" w:after="120" w:line="240" w:lineRule="auto"/>
        <w:ind w:firstLine="567"/>
        <w:jc w:val="both"/>
        <w:rPr>
          <w:rFonts w:ascii="Cambria" w:hAnsi="Cambria"/>
          <w:bCs/>
          <w:sz w:val="24"/>
          <w:lang w:val="sr-Latn-BA"/>
        </w:rPr>
      </w:pPr>
      <w:r w:rsidRPr="00F837C2">
        <w:rPr>
          <w:rFonts w:ascii="Times New Roman" w:hAnsi="Times New Roman"/>
          <w:bCs/>
          <w:sz w:val="24"/>
          <w:szCs w:val="24"/>
          <w:lang w:val="sr-Latn-BA"/>
        </w:rPr>
        <w:t>U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202</w:t>
      </w:r>
      <w:r w:rsidR="00505074" w:rsidRPr="00F837C2">
        <w:rPr>
          <w:rFonts w:ascii="Times New Roman" w:hAnsi="Times New Roman"/>
          <w:bCs/>
          <w:sz w:val="24"/>
          <w:szCs w:val="24"/>
          <w:lang w:val="sr-Latn-BA"/>
        </w:rPr>
        <w:t>4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.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godini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Komisija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je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ostvarila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višak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prihoda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nad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rashodima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u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iznosu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od</w:t>
      </w:r>
      <w:r w:rsidR="00F9581D" w:rsidRPr="00F837C2">
        <w:rPr>
          <w:rFonts w:ascii="Times New Roman" w:hAnsi="Times New Roman"/>
          <w:bCs/>
          <w:sz w:val="24"/>
          <w:szCs w:val="24"/>
          <w:lang w:val="sr-Latn-BA"/>
        </w:rPr>
        <w:t xml:space="preserve">  </w:t>
      </w:r>
      <w:r w:rsidR="00505074" w:rsidRPr="00F837C2">
        <w:rPr>
          <w:rFonts w:ascii="Times New Roman" w:hAnsi="Times New Roman"/>
          <w:bCs/>
          <w:sz w:val="24"/>
          <w:szCs w:val="24"/>
          <w:lang w:val="sr-Latn-BA"/>
        </w:rPr>
        <w:t>638</w:t>
      </w:r>
      <w:r w:rsidR="00B35336" w:rsidRPr="00F837C2">
        <w:rPr>
          <w:rFonts w:ascii="Times New Roman" w:hAnsi="Times New Roman"/>
          <w:color w:val="000000"/>
          <w:sz w:val="24"/>
          <w:szCs w:val="24"/>
          <w:lang w:val="sr-Latn-BA" w:eastAsia="bs-Latn-BA" w:bidi="ar-SA"/>
        </w:rPr>
        <w:t>.</w:t>
      </w:r>
      <w:r w:rsidR="00505074" w:rsidRPr="00F837C2">
        <w:rPr>
          <w:rFonts w:ascii="Times New Roman" w:hAnsi="Times New Roman"/>
          <w:color w:val="000000"/>
          <w:sz w:val="24"/>
          <w:szCs w:val="24"/>
          <w:lang w:val="sr-Latn-BA" w:eastAsia="bs-Latn-BA" w:bidi="ar-SA"/>
        </w:rPr>
        <w:t>478</w:t>
      </w:r>
      <w:r w:rsidR="00F9581D" w:rsidRPr="00F837C2">
        <w:rPr>
          <w:rFonts w:ascii="Times New Roman" w:hAnsi="Times New Roman"/>
          <w:color w:val="000000"/>
          <w:sz w:val="24"/>
          <w:szCs w:val="24"/>
          <w:lang w:val="sr-Latn-BA" w:eastAsia="bs-Latn-BA" w:bidi="ar-SA"/>
        </w:rPr>
        <w:t xml:space="preserve"> </w:t>
      </w:r>
      <w:r w:rsidRPr="00F837C2">
        <w:rPr>
          <w:rFonts w:ascii="Times New Roman" w:hAnsi="Times New Roman"/>
          <w:bCs/>
          <w:sz w:val="24"/>
          <w:szCs w:val="24"/>
          <w:lang w:val="sr-Latn-BA"/>
        </w:rPr>
        <w:t>KM</w:t>
      </w:r>
      <w:r w:rsidR="000C64B9" w:rsidRPr="00F837C2">
        <w:rPr>
          <w:rFonts w:ascii="Times New Roman" w:hAnsi="Times New Roman"/>
          <w:bCs/>
          <w:sz w:val="24"/>
          <w:lang w:val="sr-Latn-BA"/>
        </w:rPr>
        <w:t>.</w:t>
      </w:r>
    </w:p>
    <w:tbl>
      <w:tblPr>
        <w:tblStyle w:val="LightGrid-Accent1"/>
        <w:tblW w:w="8788" w:type="dxa"/>
        <w:jc w:val="center"/>
        <w:tblLook w:val="04A0" w:firstRow="1" w:lastRow="0" w:firstColumn="1" w:lastColumn="0" w:noHBand="0" w:noVBand="1"/>
      </w:tblPr>
      <w:tblGrid>
        <w:gridCol w:w="2967"/>
        <w:gridCol w:w="2315"/>
        <w:gridCol w:w="2363"/>
        <w:gridCol w:w="1143"/>
      </w:tblGrid>
      <w:tr w:rsidR="00CF3CC5" w:rsidRPr="00F837C2" w14:paraId="72330754" w14:textId="77777777" w:rsidTr="006C4F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noWrap/>
            <w:hideMark/>
          </w:tcPr>
          <w:p w14:paraId="5C4FE853" w14:textId="77777777" w:rsidR="00CF3CC5" w:rsidRPr="00F837C2" w:rsidRDefault="00CF3CC5" w:rsidP="00CF3CC5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 </w:t>
            </w:r>
          </w:p>
        </w:tc>
        <w:tc>
          <w:tcPr>
            <w:tcW w:w="2315" w:type="dxa"/>
            <w:hideMark/>
          </w:tcPr>
          <w:p w14:paraId="00909A3D" w14:textId="1E0EC12F" w:rsidR="00CF3CC5" w:rsidRPr="00F837C2" w:rsidRDefault="00F837C2" w:rsidP="00416A35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Ostvareno</w:t>
            </w:r>
            <w:r w:rsidR="00CF3CC5"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u</w:t>
            </w:r>
            <w:r w:rsidR="00CF3CC5"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periodu</w:t>
            </w:r>
            <w:r w:rsidR="00CF3CC5"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</w:t>
            </w:r>
            <w:r w:rsidR="00417B44">
              <w:rPr>
                <w:rFonts w:ascii="Times New Roman" w:hAnsi="Times New Roman"/>
                <w:color w:val="000000"/>
                <w:lang w:val="sr-Latn-BA" w:eastAsia="bs-Latn-BA" w:bidi="ar-SA"/>
              </w:rPr>
              <w:t>od 01.01. do 31.12.2024.</w:t>
            </w:r>
          </w:p>
        </w:tc>
        <w:tc>
          <w:tcPr>
            <w:tcW w:w="2363" w:type="dxa"/>
            <w:hideMark/>
          </w:tcPr>
          <w:p w14:paraId="4679C0B8" w14:textId="2A0F75F0" w:rsidR="00CF3CC5" w:rsidRPr="00F837C2" w:rsidRDefault="00F837C2" w:rsidP="00416A35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Ostvareno</w:t>
            </w:r>
            <w:r w:rsidR="005A1685"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u</w:t>
            </w:r>
            <w:r w:rsidR="005A1685"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periodu</w:t>
            </w:r>
            <w:r w:rsidR="006C4FBF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od</w:t>
            </w:r>
            <w:r w:rsidR="005A1685"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01.01.</w:t>
            </w:r>
            <w:r w:rsidR="006C4FBF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do </w:t>
            </w:r>
            <w:r w:rsidR="005A1685"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31.12.</w:t>
            </w:r>
            <w:r w:rsidR="00416A35"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20</w:t>
            </w:r>
            <w:r w:rsidR="00B35336"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2</w:t>
            </w:r>
            <w:r w:rsidR="00505074"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3</w:t>
            </w:r>
            <w:r w:rsidR="00416A35"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.</w:t>
            </w:r>
          </w:p>
        </w:tc>
        <w:tc>
          <w:tcPr>
            <w:tcW w:w="1143" w:type="dxa"/>
            <w:noWrap/>
            <w:hideMark/>
          </w:tcPr>
          <w:p w14:paraId="47E33347" w14:textId="111F85F5" w:rsidR="00CF3CC5" w:rsidRPr="00F837C2" w:rsidRDefault="00F837C2" w:rsidP="00416A35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Ostvareno</w:t>
            </w:r>
            <w:r w:rsidR="00CF3CC5"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20</w:t>
            </w:r>
            <w:r w:rsidR="005A1685"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2</w:t>
            </w:r>
            <w:r w:rsidR="00505074"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4</w:t>
            </w:r>
            <w:r w:rsidR="00CF3CC5"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/20</w:t>
            </w:r>
            <w:r w:rsidR="00416A35"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2</w:t>
            </w:r>
            <w:r w:rsidR="00505074"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3</w:t>
            </w:r>
          </w:p>
        </w:tc>
      </w:tr>
      <w:tr w:rsidR="00505074" w:rsidRPr="00F837C2" w14:paraId="0B144006" w14:textId="77777777" w:rsidTr="006C4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noWrap/>
            <w:hideMark/>
          </w:tcPr>
          <w:p w14:paraId="2AAD07DF" w14:textId="6F3A8E42" w:rsidR="00505074" w:rsidRPr="00F837C2" w:rsidRDefault="00F837C2" w:rsidP="00505074">
            <w:pPr>
              <w:spacing w:before="0" w:after="0" w:line="240" w:lineRule="auto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Ukupni</w:t>
            </w:r>
            <w:r w:rsidR="00505074"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prihodi</w:t>
            </w:r>
          </w:p>
        </w:tc>
        <w:tc>
          <w:tcPr>
            <w:tcW w:w="2315" w:type="dxa"/>
            <w:vAlign w:val="center"/>
          </w:tcPr>
          <w:p w14:paraId="4B13AE48" w14:textId="28691C6C" w:rsidR="00505074" w:rsidRPr="00F837C2" w:rsidRDefault="00505074" w:rsidP="00505074">
            <w:pPr>
              <w:tabs>
                <w:tab w:val="decimal" w:pos="1590"/>
              </w:tabs>
              <w:spacing w:before="0" w:after="0" w:line="240" w:lineRule="auto"/>
              <w:ind w:left="7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1.791.187  </w:t>
            </w:r>
          </w:p>
        </w:tc>
        <w:tc>
          <w:tcPr>
            <w:tcW w:w="2363" w:type="dxa"/>
            <w:vAlign w:val="center"/>
            <w:hideMark/>
          </w:tcPr>
          <w:p w14:paraId="4D11E9CE" w14:textId="5FCAB449" w:rsidR="00505074" w:rsidRPr="00F837C2" w:rsidRDefault="00505074" w:rsidP="00505074">
            <w:pPr>
              <w:spacing w:before="0"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1.016.352  </w:t>
            </w:r>
          </w:p>
        </w:tc>
        <w:tc>
          <w:tcPr>
            <w:tcW w:w="1143" w:type="dxa"/>
            <w:noWrap/>
            <w:vAlign w:val="center"/>
            <w:hideMark/>
          </w:tcPr>
          <w:p w14:paraId="43436205" w14:textId="79965DD1" w:rsidR="00505074" w:rsidRPr="00F837C2" w:rsidRDefault="00505074" w:rsidP="00505074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1,76</w:t>
            </w:r>
          </w:p>
        </w:tc>
      </w:tr>
      <w:tr w:rsidR="00505074" w:rsidRPr="00F837C2" w14:paraId="63184719" w14:textId="77777777" w:rsidTr="006C4F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hideMark/>
          </w:tcPr>
          <w:p w14:paraId="22E8D05E" w14:textId="592612CD" w:rsidR="00505074" w:rsidRPr="00F837C2" w:rsidRDefault="00F837C2" w:rsidP="00505074">
            <w:pPr>
              <w:spacing w:before="0" w:after="0" w:line="240" w:lineRule="auto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Ukupni</w:t>
            </w:r>
            <w:r w:rsidR="00505074"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rashodi</w:t>
            </w:r>
          </w:p>
        </w:tc>
        <w:tc>
          <w:tcPr>
            <w:tcW w:w="2315" w:type="dxa"/>
            <w:vAlign w:val="center"/>
          </w:tcPr>
          <w:p w14:paraId="588E63BD" w14:textId="30B957DF" w:rsidR="00505074" w:rsidRPr="00F837C2" w:rsidRDefault="00505074" w:rsidP="00505074">
            <w:pPr>
              <w:tabs>
                <w:tab w:val="decimal" w:pos="1590"/>
              </w:tabs>
              <w:spacing w:before="0" w:after="0" w:line="240" w:lineRule="auto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1.152.709</w:t>
            </w:r>
          </w:p>
        </w:tc>
        <w:tc>
          <w:tcPr>
            <w:tcW w:w="2363" w:type="dxa"/>
            <w:vAlign w:val="center"/>
            <w:hideMark/>
          </w:tcPr>
          <w:p w14:paraId="69952F56" w14:textId="26BA4F15" w:rsidR="00505074" w:rsidRPr="00F837C2" w:rsidRDefault="00505074" w:rsidP="00505074">
            <w:pPr>
              <w:spacing w:before="0" w:after="0" w:line="240" w:lineRule="auto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1.136.383</w:t>
            </w:r>
          </w:p>
        </w:tc>
        <w:tc>
          <w:tcPr>
            <w:tcW w:w="1143" w:type="dxa"/>
            <w:noWrap/>
            <w:vAlign w:val="center"/>
            <w:hideMark/>
          </w:tcPr>
          <w:p w14:paraId="1B45E2BE" w14:textId="49D3E4A6" w:rsidR="00505074" w:rsidRPr="00F837C2" w:rsidRDefault="00505074" w:rsidP="00505074">
            <w:pPr>
              <w:spacing w:before="0"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1,01</w:t>
            </w:r>
          </w:p>
        </w:tc>
      </w:tr>
      <w:tr w:rsidR="00505074" w:rsidRPr="00F837C2" w14:paraId="1CCD50D5" w14:textId="77777777" w:rsidTr="006C4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hideMark/>
          </w:tcPr>
          <w:p w14:paraId="356C6D23" w14:textId="3A1B85AE" w:rsidR="00505074" w:rsidRPr="00F837C2" w:rsidRDefault="00F837C2" w:rsidP="00505074">
            <w:pPr>
              <w:spacing w:before="0" w:after="0" w:line="240" w:lineRule="auto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Višak</w:t>
            </w:r>
            <w:r w:rsidR="00505074"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prihoda</w:t>
            </w:r>
            <w:r w:rsidR="00505074"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nad</w:t>
            </w:r>
            <w:r w:rsidR="00505074"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rashodima</w:t>
            </w:r>
          </w:p>
        </w:tc>
        <w:tc>
          <w:tcPr>
            <w:tcW w:w="2315" w:type="dxa"/>
            <w:vAlign w:val="center"/>
          </w:tcPr>
          <w:p w14:paraId="1BA3B680" w14:textId="18BBE469" w:rsidR="00505074" w:rsidRPr="00F837C2" w:rsidRDefault="00505074" w:rsidP="00505074">
            <w:pPr>
              <w:tabs>
                <w:tab w:val="decimal" w:pos="1590"/>
              </w:tabs>
              <w:spacing w:before="0"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0000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b/>
                <w:bCs/>
                <w:color w:val="000000"/>
                <w:lang w:val="sr-Latn-BA" w:eastAsia="bs-Latn-BA" w:bidi="ar-SA"/>
              </w:rPr>
              <w:t>638.478</w:t>
            </w:r>
          </w:p>
        </w:tc>
        <w:tc>
          <w:tcPr>
            <w:tcW w:w="2363" w:type="dxa"/>
            <w:vAlign w:val="center"/>
            <w:hideMark/>
          </w:tcPr>
          <w:p w14:paraId="729D1DB8" w14:textId="5478A86D" w:rsidR="00505074" w:rsidRPr="00F837C2" w:rsidRDefault="00505074" w:rsidP="00505074">
            <w:pPr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0000"/>
                <w:lang w:val="sr-Latn-BA" w:eastAsia="bs-Latn-BA" w:bidi="ar-SA"/>
              </w:rPr>
            </w:pPr>
          </w:p>
        </w:tc>
        <w:tc>
          <w:tcPr>
            <w:tcW w:w="1143" w:type="dxa"/>
            <w:noWrap/>
            <w:vAlign w:val="center"/>
            <w:hideMark/>
          </w:tcPr>
          <w:p w14:paraId="108A1827" w14:textId="483CFEDA" w:rsidR="00505074" w:rsidRPr="00F837C2" w:rsidRDefault="00505074" w:rsidP="00505074">
            <w:pPr>
              <w:spacing w:before="0"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</w:p>
        </w:tc>
      </w:tr>
      <w:tr w:rsidR="00505074" w:rsidRPr="00F837C2" w14:paraId="4E0AB827" w14:textId="77777777" w:rsidTr="006C4F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</w:tcPr>
          <w:p w14:paraId="705FE343" w14:textId="15BC4CE8" w:rsidR="00505074" w:rsidRPr="00F837C2" w:rsidRDefault="00F837C2" w:rsidP="00505074">
            <w:pPr>
              <w:spacing w:before="0" w:after="0" w:line="240" w:lineRule="auto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Manjak</w:t>
            </w:r>
            <w:r w:rsidR="00505074"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prihoda</w:t>
            </w:r>
            <w:r w:rsidR="00505074"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nad</w:t>
            </w:r>
            <w:r w:rsidR="00505074"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 xml:space="preserve"> </w:t>
            </w:r>
            <w:r w:rsidRPr="00F837C2">
              <w:rPr>
                <w:rFonts w:ascii="Times New Roman" w:hAnsi="Times New Roman"/>
                <w:color w:val="000000"/>
                <w:lang w:val="sr-Latn-BA" w:eastAsia="bs-Latn-BA" w:bidi="ar-SA"/>
              </w:rPr>
              <w:t>rashodima</w:t>
            </w:r>
          </w:p>
        </w:tc>
        <w:tc>
          <w:tcPr>
            <w:tcW w:w="2315" w:type="dxa"/>
            <w:vAlign w:val="center"/>
          </w:tcPr>
          <w:p w14:paraId="299E6512" w14:textId="337DBF41" w:rsidR="00505074" w:rsidRPr="00F837C2" w:rsidRDefault="00505074" w:rsidP="00505074">
            <w:pPr>
              <w:tabs>
                <w:tab w:val="decimal" w:pos="1590"/>
              </w:tabs>
              <w:spacing w:before="0"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0000"/>
                <w:lang w:val="sr-Latn-BA" w:eastAsia="bs-Latn-BA" w:bidi="ar-SA"/>
              </w:rPr>
            </w:pPr>
          </w:p>
        </w:tc>
        <w:tc>
          <w:tcPr>
            <w:tcW w:w="2363" w:type="dxa"/>
            <w:vAlign w:val="center"/>
          </w:tcPr>
          <w:p w14:paraId="3C983463" w14:textId="33E24899" w:rsidR="00505074" w:rsidRPr="00F837C2" w:rsidRDefault="00505074" w:rsidP="00505074">
            <w:pPr>
              <w:spacing w:before="0" w:after="0" w:line="240" w:lineRule="auto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000000"/>
                <w:lang w:val="sr-Latn-BA" w:eastAsia="bs-Latn-BA" w:bidi="ar-SA"/>
              </w:rPr>
            </w:pPr>
            <w:r w:rsidRPr="00F837C2">
              <w:rPr>
                <w:rFonts w:ascii="Times New Roman" w:hAnsi="Times New Roman"/>
                <w:b/>
                <w:bCs/>
                <w:color w:val="000000"/>
                <w:lang w:val="sr-Latn-BA" w:eastAsia="bs-Latn-BA" w:bidi="ar-SA"/>
              </w:rPr>
              <w:t>120.031</w:t>
            </w:r>
          </w:p>
        </w:tc>
        <w:tc>
          <w:tcPr>
            <w:tcW w:w="1143" w:type="dxa"/>
            <w:noWrap/>
            <w:vAlign w:val="center"/>
          </w:tcPr>
          <w:p w14:paraId="361E936E" w14:textId="77777777" w:rsidR="00505074" w:rsidRPr="00F837C2" w:rsidRDefault="00505074" w:rsidP="00505074">
            <w:pPr>
              <w:spacing w:before="0" w:after="0" w:line="240" w:lineRule="auto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000000"/>
                <w:lang w:val="sr-Latn-BA" w:eastAsia="bs-Latn-BA" w:bidi="ar-SA"/>
              </w:rPr>
            </w:pPr>
          </w:p>
        </w:tc>
      </w:tr>
    </w:tbl>
    <w:p w14:paraId="0BA2CBDB" w14:textId="36BBADD6" w:rsidR="009F3B90" w:rsidRPr="00F837C2" w:rsidRDefault="00F837C2" w:rsidP="004C6172">
      <w:pPr>
        <w:pStyle w:val="Caption"/>
        <w:tabs>
          <w:tab w:val="left" w:pos="1276"/>
        </w:tabs>
        <w:spacing w:before="120" w:after="0" w:line="240" w:lineRule="auto"/>
        <w:ind w:left="1276" w:hanging="1276"/>
        <w:rPr>
          <w:rFonts w:ascii="Times New Roman" w:hAnsi="Times New Roman"/>
          <w:b w:val="0"/>
          <w:color w:val="auto"/>
          <w:sz w:val="24"/>
          <w:szCs w:val="24"/>
          <w:lang w:val="sr-Latn-BA"/>
        </w:rPr>
      </w:pPr>
      <w:r w:rsidRPr="00F837C2">
        <w:rPr>
          <w:rFonts w:ascii="Times New Roman" w:hAnsi="Times New Roman"/>
          <w:bCs w:val="0"/>
          <w:sz w:val="24"/>
          <w:lang w:val="sr-Latn-BA"/>
        </w:rPr>
        <w:t>Tabela</w:t>
      </w:r>
      <w:r w:rsidR="004C6172" w:rsidRPr="00F837C2">
        <w:rPr>
          <w:rFonts w:ascii="Times New Roman" w:hAnsi="Times New Roman"/>
          <w:bCs w:val="0"/>
          <w:sz w:val="24"/>
          <w:lang w:val="sr-Latn-BA"/>
        </w:rPr>
        <w:t xml:space="preserve"> </w:t>
      </w:r>
      <w:r w:rsidR="004C6172" w:rsidRPr="00F837C2">
        <w:rPr>
          <w:rFonts w:ascii="Times New Roman" w:hAnsi="Times New Roman"/>
          <w:bCs w:val="0"/>
          <w:sz w:val="24"/>
          <w:lang w:val="sr-Latn-BA"/>
        </w:rPr>
        <w:fldChar w:fldCharType="begin"/>
      </w:r>
      <w:r w:rsidR="004C6172" w:rsidRPr="00F837C2">
        <w:rPr>
          <w:rFonts w:ascii="Times New Roman" w:hAnsi="Times New Roman"/>
          <w:bCs w:val="0"/>
          <w:sz w:val="24"/>
          <w:lang w:val="sr-Latn-BA"/>
        </w:rPr>
        <w:instrText xml:space="preserve"> SEQ Табела \* ARABIC </w:instrText>
      </w:r>
      <w:r w:rsidR="004C6172" w:rsidRPr="00F837C2">
        <w:rPr>
          <w:rFonts w:ascii="Times New Roman" w:hAnsi="Times New Roman"/>
          <w:bCs w:val="0"/>
          <w:sz w:val="24"/>
          <w:lang w:val="sr-Latn-BA"/>
        </w:rPr>
        <w:fldChar w:fldCharType="separate"/>
      </w:r>
      <w:r w:rsidR="002D2C10" w:rsidRPr="00F837C2">
        <w:rPr>
          <w:rFonts w:ascii="Times New Roman" w:hAnsi="Times New Roman"/>
          <w:bCs w:val="0"/>
          <w:noProof/>
          <w:sz w:val="24"/>
          <w:lang w:val="sr-Latn-BA"/>
        </w:rPr>
        <w:t>4</w:t>
      </w:r>
      <w:r w:rsidR="004C6172" w:rsidRPr="00F837C2">
        <w:rPr>
          <w:rFonts w:ascii="Times New Roman" w:hAnsi="Times New Roman"/>
          <w:bCs w:val="0"/>
          <w:sz w:val="24"/>
          <w:lang w:val="sr-Latn-BA"/>
        </w:rPr>
        <w:fldChar w:fldCharType="end"/>
      </w:r>
      <w:r w:rsidR="004C6172" w:rsidRPr="00F837C2">
        <w:rPr>
          <w:rFonts w:ascii="Times New Roman" w:hAnsi="Times New Roman"/>
          <w:bCs w:val="0"/>
          <w:sz w:val="24"/>
          <w:lang w:val="sr-Latn-BA"/>
        </w:rPr>
        <w:t>.</w:t>
      </w:r>
      <w:r w:rsidR="004C6172" w:rsidRPr="00F837C2">
        <w:rPr>
          <w:rFonts w:ascii="Times New Roman" w:hAnsi="Times New Roman"/>
          <w:bCs w:val="0"/>
          <w:sz w:val="24"/>
          <w:lang w:val="sr-Latn-BA"/>
        </w:rPr>
        <w:tab/>
      </w:r>
      <w:r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Prihodi</w:t>
      </w:r>
      <w:r w:rsidR="004C6172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i</w:t>
      </w:r>
      <w:r w:rsidR="004C6172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rashodi</w:t>
      </w:r>
      <w:r w:rsidR="004C6172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Komisije</w:t>
      </w:r>
      <w:r w:rsidR="004C6172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u</w:t>
      </w:r>
      <w:r w:rsidR="004C6172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20</w:t>
      </w:r>
      <w:r w:rsidR="00416A35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2</w:t>
      </w:r>
      <w:r w:rsidR="00505074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3</w:t>
      </w:r>
      <w:r w:rsidR="004C6172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. </w:t>
      </w:r>
      <w:r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i</w:t>
      </w:r>
      <w:r w:rsidR="004C6172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 xml:space="preserve"> 202</w:t>
      </w:r>
      <w:r w:rsidR="00505074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4</w:t>
      </w:r>
      <w:r w:rsidR="004C6172"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.</w:t>
      </w:r>
      <w:r w:rsidR="004C6172" w:rsidRPr="00F837C2">
        <w:rPr>
          <w:rFonts w:ascii="Times New Roman" w:hAnsi="Times New Roman"/>
          <w:color w:val="auto"/>
          <w:sz w:val="24"/>
          <w:szCs w:val="24"/>
          <w:lang w:val="sr-Latn-BA"/>
        </w:rPr>
        <w:t xml:space="preserve"> </w:t>
      </w:r>
      <w:r w:rsidRPr="00F837C2">
        <w:rPr>
          <w:rFonts w:ascii="Times New Roman" w:hAnsi="Times New Roman"/>
          <w:b w:val="0"/>
          <w:color w:val="auto"/>
          <w:sz w:val="24"/>
          <w:szCs w:val="24"/>
          <w:lang w:val="sr-Latn-BA"/>
        </w:rPr>
        <w:t>godini</w:t>
      </w:r>
    </w:p>
    <w:sectPr w:rsidR="009F3B90" w:rsidRPr="00F837C2" w:rsidSect="0069056E"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D9A08" w14:textId="77777777" w:rsidR="00D77333" w:rsidRDefault="00D77333" w:rsidP="00BB7C11">
      <w:pPr>
        <w:spacing w:before="0" w:after="0" w:line="240" w:lineRule="auto"/>
      </w:pPr>
      <w:r>
        <w:separator/>
      </w:r>
    </w:p>
  </w:endnote>
  <w:endnote w:type="continuationSeparator" w:id="0">
    <w:p w14:paraId="4BE7894F" w14:textId="77777777" w:rsidR="00D77333" w:rsidRDefault="00D77333" w:rsidP="00BB7C1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Times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7E440" w14:textId="77777777" w:rsidR="00D77333" w:rsidRDefault="00D77333" w:rsidP="00BB7C11">
      <w:pPr>
        <w:spacing w:before="0" w:after="0" w:line="240" w:lineRule="auto"/>
      </w:pPr>
      <w:r>
        <w:separator/>
      </w:r>
    </w:p>
  </w:footnote>
  <w:footnote w:type="continuationSeparator" w:id="0">
    <w:p w14:paraId="18BB4CC1" w14:textId="77777777" w:rsidR="00D77333" w:rsidRDefault="00D77333" w:rsidP="00BB7C11">
      <w:pPr>
        <w:spacing w:before="0" w:after="0" w:line="240" w:lineRule="auto"/>
      </w:pPr>
      <w:r>
        <w:continuationSeparator/>
      </w:r>
    </w:p>
  </w:footnote>
  <w:footnote w:id="1">
    <w:p w14:paraId="1D3BE25F" w14:textId="4C396D84" w:rsidR="00F9581D" w:rsidRPr="003857FB" w:rsidRDefault="00F9581D" w:rsidP="00F9581D">
      <w:pPr>
        <w:pStyle w:val="FootnoteText"/>
        <w:spacing w:before="0" w:after="0"/>
        <w:contextualSpacing/>
        <w:rPr>
          <w:rFonts w:ascii="Times New Roman" w:hAnsi="Times New Roman"/>
          <w:lang w:val="sr-Latn-BA"/>
        </w:rPr>
      </w:pPr>
      <w:r w:rsidRPr="003857FB">
        <w:rPr>
          <w:rStyle w:val="FootnoteReference"/>
          <w:rFonts w:ascii="Times New Roman" w:hAnsi="Times New Roman"/>
          <w:lang w:val="sr-Latn-BA"/>
        </w:rPr>
        <w:footnoteRef/>
      </w:r>
      <w:r w:rsidRPr="003857FB">
        <w:rPr>
          <w:rFonts w:ascii="Times New Roman" w:hAnsi="Times New Roman"/>
          <w:lang w:val="sr-Latn-BA"/>
        </w:rPr>
        <w:t xml:space="preserve"> </w:t>
      </w:r>
      <w:r w:rsidRPr="003857FB">
        <w:rPr>
          <w:rFonts w:ascii="Times New Roman" w:hAnsi="Times New Roman"/>
          <w:bCs/>
          <w:lang w:val="sr-Latn-BA"/>
        </w:rPr>
        <w:t>„</w:t>
      </w:r>
      <w:r w:rsidR="00CD711F" w:rsidRPr="00CD711F">
        <w:rPr>
          <w:rFonts w:ascii="Times New Roman" w:hAnsi="Times New Roman"/>
          <w:bCs/>
          <w:lang w:val="sr-Latn-BA"/>
        </w:rPr>
        <w:t>Службени гласник Републике Српске“ бр. 92/06, 34/09, 30/12, 59/13, 108/13, 4/17, 63/21, 11/22 и 62/22</w:t>
      </w:r>
      <w:r w:rsidRPr="003857FB">
        <w:rPr>
          <w:rFonts w:ascii="Times New Roman" w:hAnsi="Times New Roman"/>
          <w:bCs/>
          <w:lang w:val="sr-Latn-BA"/>
        </w:rPr>
        <w:t>.</w:t>
      </w:r>
    </w:p>
  </w:footnote>
  <w:footnote w:id="2">
    <w:p w14:paraId="7C512C3C" w14:textId="0C3F1AAD" w:rsidR="006F2417" w:rsidRPr="003857FB" w:rsidRDefault="006F2417" w:rsidP="006F2417">
      <w:pPr>
        <w:pStyle w:val="FootnoteText"/>
        <w:spacing w:before="0" w:after="0" w:line="240" w:lineRule="auto"/>
        <w:rPr>
          <w:rFonts w:ascii="Times New Roman" w:hAnsi="Times New Roman"/>
          <w:lang w:val="sr-Latn-BA"/>
        </w:rPr>
      </w:pPr>
      <w:r w:rsidRPr="003857FB">
        <w:rPr>
          <w:rStyle w:val="FootnoteReference"/>
          <w:rFonts w:ascii="Times New Roman" w:hAnsi="Times New Roman"/>
          <w:lang w:val="sr-Latn-BA"/>
        </w:rPr>
        <w:footnoteRef/>
      </w:r>
      <w:r w:rsidRPr="003857FB">
        <w:rPr>
          <w:rFonts w:ascii="Times New Roman" w:hAnsi="Times New Roman"/>
          <w:lang w:val="sr-Latn-BA"/>
        </w:rPr>
        <w:t xml:space="preserve"> </w:t>
      </w:r>
      <w:r w:rsidR="00CD711F" w:rsidRPr="00CD711F">
        <w:rPr>
          <w:rFonts w:ascii="Times New Roman" w:hAnsi="Times New Roman"/>
          <w:bCs/>
          <w:lang w:val="sr-Latn-BA"/>
        </w:rPr>
        <w:t>Извор: Финансијски извјештаји Комисије</w:t>
      </w:r>
      <w:r w:rsidRPr="003857FB">
        <w:rPr>
          <w:rFonts w:ascii="Times New Roman" w:hAnsi="Times New Roman"/>
          <w:bCs/>
          <w:lang w:val="sr-Latn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A3344"/>
    <w:multiLevelType w:val="hybridMultilevel"/>
    <w:tmpl w:val="479A597E"/>
    <w:lvl w:ilvl="0" w:tplc="B43039E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2282F7C">
      <w:numFmt w:val="none"/>
      <w:lvlText w:val=""/>
      <w:lvlJc w:val="left"/>
      <w:pPr>
        <w:tabs>
          <w:tab w:val="num" w:pos="360"/>
        </w:tabs>
      </w:pPr>
    </w:lvl>
    <w:lvl w:ilvl="2" w:tplc="23001AFE">
      <w:numFmt w:val="none"/>
      <w:lvlText w:val=""/>
      <w:lvlJc w:val="left"/>
      <w:pPr>
        <w:tabs>
          <w:tab w:val="num" w:pos="360"/>
        </w:tabs>
      </w:pPr>
    </w:lvl>
    <w:lvl w:ilvl="3" w:tplc="FC2A9106">
      <w:numFmt w:val="none"/>
      <w:lvlText w:val=""/>
      <w:lvlJc w:val="left"/>
      <w:pPr>
        <w:tabs>
          <w:tab w:val="num" w:pos="360"/>
        </w:tabs>
      </w:pPr>
    </w:lvl>
    <w:lvl w:ilvl="4" w:tplc="37B801A8">
      <w:numFmt w:val="none"/>
      <w:lvlText w:val=""/>
      <w:lvlJc w:val="left"/>
      <w:pPr>
        <w:tabs>
          <w:tab w:val="num" w:pos="360"/>
        </w:tabs>
      </w:pPr>
    </w:lvl>
    <w:lvl w:ilvl="5" w:tplc="EAB0161E">
      <w:numFmt w:val="none"/>
      <w:lvlText w:val=""/>
      <w:lvlJc w:val="left"/>
      <w:pPr>
        <w:tabs>
          <w:tab w:val="num" w:pos="360"/>
        </w:tabs>
      </w:pPr>
    </w:lvl>
    <w:lvl w:ilvl="6" w:tplc="02082DF4">
      <w:numFmt w:val="none"/>
      <w:lvlText w:val=""/>
      <w:lvlJc w:val="left"/>
      <w:pPr>
        <w:tabs>
          <w:tab w:val="num" w:pos="360"/>
        </w:tabs>
      </w:pPr>
    </w:lvl>
    <w:lvl w:ilvl="7" w:tplc="421C8FF0">
      <w:numFmt w:val="none"/>
      <w:lvlText w:val=""/>
      <w:lvlJc w:val="left"/>
      <w:pPr>
        <w:tabs>
          <w:tab w:val="num" w:pos="360"/>
        </w:tabs>
      </w:pPr>
    </w:lvl>
    <w:lvl w:ilvl="8" w:tplc="6B40CCAC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7AC09B5"/>
    <w:multiLevelType w:val="hybridMultilevel"/>
    <w:tmpl w:val="4C42D530"/>
    <w:lvl w:ilvl="0" w:tplc="CCE03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40847"/>
    <w:multiLevelType w:val="hybridMultilevel"/>
    <w:tmpl w:val="5BDA129C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D12C8D"/>
    <w:multiLevelType w:val="hybridMultilevel"/>
    <w:tmpl w:val="D9A64896"/>
    <w:lvl w:ilvl="0" w:tplc="3836F48A">
      <w:start w:val="4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4" w15:restartNumberingAfterBreak="0">
    <w:nsid w:val="28364F1C"/>
    <w:multiLevelType w:val="hybridMultilevel"/>
    <w:tmpl w:val="9E40A120"/>
    <w:lvl w:ilvl="0" w:tplc="016C06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BC97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9664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6A8D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4A7E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E4EF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00F6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E80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2D49D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2D247A"/>
    <w:multiLevelType w:val="singleLevel"/>
    <w:tmpl w:val="07405C98"/>
    <w:lvl w:ilvl="0">
      <w:start w:val="5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6" w15:restartNumberingAfterBreak="0">
    <w:nsid w:val="37A022E3"/>
    <w:multiLevelType w:val="hybridMultilevel"/>
    <w:tmpl w:val="5F9AEFEE"/>
    <w:lvl w:ilvl="0" w:tplc="CCE039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3F1549CA"/>
    <w:multiLevelType w:val="hybridMultilevel"/>
    <w:tmpl w:val="CD6E8840"/>
    <w:lvl w:ilvl="0" w:tplc="17429A02">
      <w:start w:val="100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B54447"/>
    <w:multiLevelType w:val="multilevel"/>
    <w:tmpl w:val="5FC457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44A0036"/>
    <w:multiLevelType w:val="multilevel"/>
    <w:tmpl w:val="5FC457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822401C"/>
    <w:multiLevelType w:val="hybridMultilevel"/>
    <w:tmpl w:val="8B8E5F66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091BC5"/>
    <w:multiLevelType w:val="multilevel"/>
    <w:tmpl w:val="18282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711188E"/>
    <w:multiLevelType w:val="hybridMultilevel"/>
    <w:tmpl w:val="B98EF8E4"/>
    <w:lvl w:ilvl="0" w:tplc="C0F06FD4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7FA70CE8"/>
    <w:multiLevelType w:val="hybridMultilevel"/>
    <w:tmpl w:val="8B62B724"/>
    <w:lvl w:ilvl="0" w:tplc="88B299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4446217">
    <w:abstractNumId w:val="4"/>
  </w:num>
  <w:num w:numId="2" w16cid:durableId="63186571">
    <w:abstractNumId w:val="5"/>
  </w:num>
  <w:num w:numId="3" w16cid:durableId="805851891">
    <w:abstractNumId w:val="2"/>
  </w:num>
  <w:num w:numId="4" w16cid:durableId="789859865">
    <w:abstractNumId w:val="12"/>
  </w:num>
  <w:num w:numId="5" w16cid:durableId="1958292696">
    <w:abstractNumId w:val="0"/>
  </w:num>
  <w:num w:numId="6" w16cid:durableId="1047534185">
    <w:abstractNumId w:val="6"/>
  </w:num>
  <w:num w:numId="7" w16cid:durableId="2126338841">
    <w:abstractNumId w:val="1"/>
  </w:num>
  <w:num w:numId="8" w16cid:durableId="2102294125">
    <w:abstractNumId w:val="3"/>
  </w:num>
  <w:num w:numId="9" w16cid:durableId="932590267">
    <w:abstractNumId w:val="13"/>
  </w:num>
  <w:num w:numId="10" w16cid:durableId="1099447605">
    <w:abstractNumId w:val="11"/>
  </w:num>
  <w:num w:numId="11" w16cid:durableId="1702706974">
    <w:abstractNumId w:val="8"/>
  </w:num>
  <w:num w:numId="12" w16cid:durableId="1456409838">
    <w:abstractNumId w:val="9"/>
  </w:num>
  <w:num w:numId="13" w16cid:durableId="1801877783">
    <w:abstractNumId w:val="7"/>
  </w:num>
  <w:num w:numId="14" w16cid:durableId="4941457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44F"/>
    <w:rsid w:val="00002131"/>
    <w:rsid w:val="000047B8"/>
    <w:rsid w:val="000052A2"/>
    <w:rsid w:val="00007F94"/>
    <w:rsid w:val="0001114E"/>
    <w:rsid w:val="00014D7C"/>
    <w:rsid w:val="00025AAD"/>
    <w:rsid w:val="0003576E"/>
    <w:rsid w:val="00036817"/>
    <w:rsid w:val="00036BF2"/>
    <w:rsid w:val="00037633"/>
    <w:rsid w:val="00040B73"/>
    <w:rsid w:val="00040F47"/>
    <w:rsid w:val="000414AA"/>
    <w:rsid w:val="00054E3D"/>
    <w:rsid w:val="00061A5E"/>
    <w:rsid w:val="00062718"/>
    <w:rsid w:val="0006378B"/>
    <w:rsid w:val="00066797"/>
    <w:rsid w:val="00070F0C"/>
    <w:rsid w:val="0007291B"/>
    <w:rsid w:val="000741D3"/>
    <w:rsid w:val="000747CF"/>
    <w:rsid w:val="00075E8F"/>
    <w:rsid w:val="0007715E"/>
    <w:rsid w:val="000838EA"/>
    <w:rsid w:val="000855CA"/>
    <w:rsid w:val="0009070E"/>
    <w:rsid w:val="0009083A"/>
    <w:rsid w:val="000921A8"/>
    <w:rsid w:val="00092340"/>
    <w:rsid w:val="000A3817"/>
    <w:rsid w:val="000A7E38"/>
    <w:rsid w:val="000B65A8"/>
    <w:rsid w:val="000B7B32"/>
    <w:rsid w:val="000C33CF"/>
    <w:rsid w:val="000C64B9"/>
    <w:rsid w:val="000D31EE"/>
    <w:rsid w:val="000D5EA5"/>
    <w:rsid w:val="000E63F3"/>
    <w:rsid w:val="000F3663"/>
    <w:rsid w:val="000F45A5"/>
    <w:rsid w:val="00102156"/>
    <w:rsid w:val="00106E00"/>
    <w:rsid w:val="00112C85"/>
    <w:rsid w:val="00116E20"/>
    <w:rsid w:val="00121F73"/>
    <w:rsid w:val="001232D4"/>
    <w:rsid w:val="0013478B"/>
    <w:rsid w:val="001513F3"/>
    <w:rsid w:val="001625FD"/>
    <w:rsid w:val="00164525"/>
    <w:rsid w:val="00172126"/>
    <w:rsid w:val="00182F1B"/>
    <w:rsid w:val="001843D6"/>
    <w:rsid w:val="001936A1"/>
    <w:rsid w:val="001A6FD8"/>
    <w:rsid w:val="001B5026"/>
    <w:rsid w:val="001B60BC"/>
    <w:rsid w:val="001B648E"/>
    <w:rsid w:val="001B6D14"/>
    <w:rsid w:val="001D5E80"/>
    <w:rsid w:val="001F4EB5"/>
    <w:rsid w:val="001F6628"/>
    <w:rsid w:val="00200668"/>
    <w:rsid w:val="0021329C"/>
    <w:rsid w:val="00216A7D"/>
    <w:rsid w:val="00216EB9"/>
    <w:rsid w:val="0021719C"/>
    <w:rsid w:val="00225499"/>
    <w:rsid w:val="00233C00"/>
    <w:rsid w:val="00250062"/>
    <w:rsid w:val="0025028D"/>
    <w:rsid w:val="002508F5"/>
    <w:rsid w:val="0025271C"/>
    <w:rsid w:val="00254C0E"/>
    <w:rsid w:val="00257A08"/>
    <w:rsid w:val="0026148C"/>
    <w:rsid w:val="002635F6"/>
    <w:rsid w:val="002650F7"/>
    <w:rsid w:val="00272569"/>
    <w:rsid w:val="00272CAB"/>
    <w:rsid w:val="00274671"/>
    <w:rsid w:val="00276006"/>
    <w:rsid w:val="00276010"/>
    <w:rsid w:val="00276376"/>
    <w:rsid w:val="00282B98"/>
    <w:rsid w:val="002877A7"/>
    <w:rsid w:val="002A1179"/>
    <w:rsid w:val="002A6B14"/>
    <w:rsid w:val="002A77E0"/>
    <w:rsid w:val="002B2533"/>
    <w:rsid w:val="002B3F04"/>
    <w:rsid w:val="002C2A16"/>
    <w:rsid w:val="002C3DEA"/>
    <w:rsid w:val="002C7612"/>
    <w:rsid w:val="002D0653"/>
    <w:rsid w:val="002D1282"/>
    <w:rsid w:val="002D18DB"/>
    <w:rsid w:val="002D2C10"/>
    <w:rsid w:val="002D35C7"/>
    <w:rsid w:val="002F5002"/>
    <w:rsid w:val="0030105A"/>
    <w:rsid w:val="00303FCB"/>
    <w:rsid w:val="00316E3D"/>
    <w:rsid w:val="00316FD6"/>
    <w:rsid w:val="003172AF"/>
    <w:rsid w:val="00320AA1"/>
    <w:rsid w:val="00340A47"/>
    <w:rsid w:val="003424AA"/>
    <w:rsid w:val="00345313"/>
    <w:rsid w:val="00354C0E"/>
    <w:rsid w:val="00357450"/>
    <w:rsid w:val="00361C5D"/>
    <w:rsid w:val="00374979"/>
    <w:rsid w:val="00381B9F"/>
    <w:rsid w:val="003857FB"/>
    <w:rsid w:val="00395C3E"/>
    <w:rsid w:val="003A0F0C"/>
    <w:rsid w:val="003C134B"/>
    <w:rsid w:val="003C2C63"/>
    <w:rsid w:val="003C3A09"/>
    <w:rsid w:val="003D22DC"/>
    <w:rsid w:val="003D3375"/>
    <w:rsid w:val="003D33B8"/>
    <w:rsid w:val="003D3DEE"/>
    <w:rsid w:val="003E1696"/>
    <w:rsid w:val="003E1F14"/>
    <w:rsid w:val="003F05D7"/>
    <w:rsid w:val="003F0846"/>
    <w:rsid w:val="003F167C"/>
    <w:rsid w:val="003F2802"/>
    <w:rsid w:val="003F3F63"/>
    <w:rsid w:val="0040241F"/>
    <w:rsid w:val="0041396B"/>
    <w:rsid w:val="0041526F"/>
    <w:rsid w:val="00416A35"/>
    <w:rsid w:val="00417B44"/>
    <w:rsid w:val="0042239D"/>
    <w:rsid w:val="0042255C"/>
    <w:rsid w:val="004228F9"/>
    <w:rsid w:val="004253A9"/>
    <w:rsid w:val="00427F76"/>
    <w:rsid w:val="00430238"/>
    <w:rsid w:val="00441C92"/>
    <w:rsid w:val="00444292"/>
    <w:rsid w:val="004451C7"/>
    <w:rsid w:val="00466A6B"/>
    <w:rsid w:val="004768DD"/>
    <w:rsid w:val="00481CB7"/>
    <w:rsid w:val="004852B4"/>
    <w:rsid w:val="00485B7B"/>
    <w:rsid w:val="00491DBB"/>
    <w:rsid w:val="004A1EC8"/>
    <w:rsid w:val="004A344E"/>
    <w:rsid w:val="004A41A6"/>
    <w:rsid w:val="004A5785"/>
    <w:rsid w:val="004A6E01"/>
    <w:rsid w:val="004A6ECA"/>
    <w:rsid w:val="004A781F"/>
    <w:rsid w:val="004C4371"/>
    <w:rsid w:val="004C6172"/>
    <w:rsid w:val="004D543F"/>
    <w:rsid w:val="004E7621"/>
    <w:rsid w:val="004F0441"/>
    <w:rsid w:val="004F1054"/>
    <w:rsid w:val="004F3F63"/>
    <w:rsid w:val="004F5505"/>
    <w:rsid w:val="004F6593"/>
    <w:rsid w:val="004F65DF"/>
    <w:rsid w:val="00505074"/>
    <w:rsid w:val="005075C4"/>
    <w:rsid w:val="00510F4B"/>
    <w:rsid w:val="005150EC"/>
    <w:rsid w:val="00515F8E"/>
    <w:rsid w:val="005249B9"/>
    <w:rsid w:val="00562632"/>
    <w:rsid w:val="00565094"/>
    <w:rsid w:val="005700BD"/>
    <w:rsid w:val="005730BA"/>
    <w:rsid w:val="00574594"/>
    <w:rsid w:val="00577242"/>
    <w:rsid w:val="0058158F"/>
    <w:rsid w:val="00585D8F"/>
    <w:rsid w:val="005909D4"/>
    <w:rsid w:val="005911F0"/>
    <w:rsid w:val="005A1290"/>
    <w:rsid w:val="005A1685"/>
    <w:rsid w:val="005A5396"/>
    <w:rsid w:val="005A6A94"/>
    <w:rsid w:val="005B7960"/>
    <w:rsid w:val="005B7C99"/>
    <w:rsid w:val="005C44B6"/>
    <w:rsid w:val="005C569C"/>
    <w:rsid w:val="005C6155"/>
    <w:rsid w:val="005C6CEE"/>
    <w:rsid w:val="005E407F"/>
    <w:rsid w:val="005F0DBD"/>
    <w:rsid w:val="005F6DE7"/>
    <w:rsid w:val="005F7EC0"/>
    <w:rsid w:val="0060373F"/>
    <w:rsid w:val="00607BFB"/>
    <w:rsid w:val="006170B6"/>
    <w:rsid w:val="00636496"/>
    <w:rsid w:val="00636E41"/>
    <w:rsid w:val="00641D8D"/>
    <w:rsid w:val="00651E83"/>
    <w:rsid w:val="00655DA0"/>
    <w:rsid w:val="00663572"/>
    <w:rsid w:val="00665370"/>
    <w:rsid w:val="006674EE"/>
    <w:rsid w:val="00671282"/>
    <w:rsid w:val="00676F93"/>
    <w:rsid w:val="00680663"/>
    <w:rsid w:val="006836C9"/>
    <w:rsid w:val="00683EB0"/>
    <w:rsid w:val="00683F33"/>
    <w:rsid w:val="00686FFC"/>
    <w:rsid w:val="0069056E"/>
    <w:rsid w:val="006909C9"/>
    <w:rsid w:val="00695D4C"/>
    <w:rsid w:val="006A1826"/>
    <w:rsid w:val="006A4C19"/>
    <w:rsid w:val="006B345B"/>
    <w:rsid w:val="006C172D"/>
    <w:rsid w:val="006C4FBF"/>
    <w:rsid w:val="006C7798"/>
    <w:rsid w:val="006D1699"/>
    <w:rsid w:val="006D2215"/>
    <w:rsid w:val="006E38A9"/>
    <w:rsid w:val="006E525C"/>
    <w:rsid w:val="006E6A02"/>
    <w:rsid w:val="006F2417"/>
    <w:rsid w:val="006F3063"/>
    <w:rsid w:val="006F5399"/>
    <w:rsid w:val="007043ED"/>
    <w:rsid w:val="00705D27"/>
    <w:rsid w:val="00711ABA"/>
    <w:rsid w:val="00717FD6"/>
    <w:rsid w:val="00720C03"/>
    <w:rsid w:val="0072397D"/>
    <w:rsid w:val="00733C71"/>
    <w:rsid w:val="00734E67"/>
    <w:rsid w:val="00752648"/>
    <w:rsid w:val="007554F0"/>
    <w:rsid w:val="0076181C"/>
    <w:rsid w:val="0078054A"/>
    <w:rsid w:val="00790181"/>
    <w:rsid w:val="0079742C"/>
    <w:rsid w:val="007A1A2C"/>
    <w:rsid w:val="007A2467"/>
    <w:rsid w:val="007B27B3"/>
    <w:rsid w:val="007B4EDB"/>
    <w:rsid w:val="007B7B14"/>
    <w:rsid w:val="007C0E25"/>
    <w:rsid w:val="007C53E6"/>
    <w:rsid w:val="007D2C7E"/>
    <w:rsid w:val="007D7332"/>
    <w:rsid w:val="007E5BD3"/>
    <w:rsid w:val="007E6A48"/>
    <w:rsid w:val="007E74DE"/>
    <w:rsid w:val="007F1001"/>
    <w:rsid w:val="007F4896"/>
    <w:rsid w:val="007F6914"/>
    <w:rsid w:val="00800E69"/>
    <w:rsid w:val="008028C0"/>
    <w:rsid w:val="00802F6C"/>
    <w:rsid w:val="00822643"/>
    <w:rsid w:val="00835894"/>
    <w:rsid w:val="008433FE"/>
    <w:rsid w:val="008456CA"/>
    <w:rsid w:val="00846EA4"/>
    <w:rsid w:val="00851A3D"/>
    <w:rsid w:val="008550B2"/>
    <w:rsid w:val="00864DDC"/>
    <w:rsid w:val="00885645"/>
    <w:rsid w:val="008910C3"/>
    <w:rsid w:val="00893A22"/>
    <w:rsid w:val="0089624D"/>
    <w:rsid w:val="008A02BD"/>
    <w:rsid w:val="008B102C"/>
    <w:rsid w:val="008D77B1"/>
    <w:rsid w:val="008D7FC3"/>
    <w:rsid w:val="008E5FEC"/>
    <w:rsid w:val="008E6152"/>
    <w:rsid w:val="008E6452"/>
    <w:rsid w:val="008E7AE8"/>
    <w:rsid w:val="008F5683"/>
    <w:rsid w:val="0090274C"/>
    <w:rsid w:val="009069F5"/>
    <w:rsid w:val="009116DB"/>
    <w:rsid w:val="00912A0F"/>
    <w:rsid w:val="00915B74"/>
    <w:rsid w:val="0092044F"/>
    <w:rsid w:val="00920795"/>
    <w:rsid w:val="0092200A"/>
    <w:rsid w:val="00923F3F"/>
    <w:rsid w:val="00926D83"/>
    <w:rsid w:val="00927EF8"/>
    <w:rsid w:val="00931022"/>
    <w:rsid w:val="00931659"/>
    <w:rsid w:val="009424F7"/>
    <w:rsid w:val="0095496C"/>
    <w:rsid w:val="00955D8B"/>
    <w:rsid w:val="00957EC9"/>
    <w:rsid w:val="00965888"/>
    <w:rsid w:val="00977B2C"/>
    <w:rsid w:val="00980662"/>
    <w:rsid w:val="0098272B"/>
    <w:rsid w:val="009908A1"/>
    <w:rsid w:val="00990CD6"/>
    <w:rsid w:val="009941EF"/>
    <w:rsid w:val="009A10FC"/>
    <w:rsid w:val="009A2436"/>
    <w:rsid w:val="009A2470"/>
    <w:rsid w:val="009A6387"/>
    <w:rsid w:val="009A7BE4"/>
    <w:rsid w:val="009B0557"/>
    <w:rsid w:val="009D196F"/>
    <w:rsid w:val="009E0BB5"/>
    <w:rsid w:val="009E113D"/>
    <w:rsid w:val="009E4CBD"/>
    <w:rsid w:val="009E5E92"/>
    <w:rsid w:val="009F0850"/>
    <w:rsid w:val="009F3081"/>
    <w:rsid w:val="009F3B90"/>
    <w:rsid w:val="00A06242"/>
    <w:rsid w:val="00A119E7"/>
    <w:rsid w:val="00A1211C"/>
    <w:rsid w:val="00A14A56"/>
    <w:rsid w:val="00A234AF"/>
    <w:rsid w:val="00A258E7"/>
    <w:rsid w:val="00A3188F"/>
    <w:rsid w:val="00A43AA3"/>
    <w:rsid w:val="00A441DA"/>
    <w:rsid w:val="00A44DC5"/>
    <w:rsid w:val="00A47B16"/>
    <w:rsid w:val="00A53CE1"/>
    <w:rsid w:val="00A7540C"/>
    <w:rsid w:val="00A864A5"/>
    <w:rsid w:val="00A87E3A"/>
    <w:rsid w:val="00AB36E2"/>
    <w:rsid w:val="00AC3D2C"/>
    <w:rsid w:val="00AC4BAC"/>
    <w:rsid w:val="00AD069B"/>
    <w:rsid w:val="00AD115E"/>
    <w:rsid w:val="00AE063F"/>
    <w:rsid w:val="00AF6727"/>
    <w:rsid w:val="00AF7624"/>
    <w:rsid w:val="00B005C1"/>
    <w:rsid w:val="00B05067"/>
    <w:rsid w:val="00B0620C"/>
    <w:rsid w:val="00B0730D"/>
    <w:rsid w:val="00B11846"/>
    <w:rsid w:val="00B266AC"/>
    <w:rsid w:val="00B31EE3"/>
    <w:rsid w:val="00B35336"/>
    <w:rsid w:val="00B40043"/>
    <w:rsid w:val="00B42096"/>
    <w:rsid w:val="00B550B6"/>
    <w:rsid w:val="00B66483"/>
    <w:rsid w:val="00B675BA"/>
    <w:rsid w:val="00B75EE4"/>
    <w:rsid w:val="00B7671B"/>
    <w:rsid w:val="00B811B7"/>
    <w:rsid w:val="00B83087"/>
    <w:rsid w:val="00B85722"/>
    <w:rsid w:val="00B94D22"/>
    <w:rsid w:val="00B961C0"/>
    <w:rsid w:val="00BA41B6"/>
    <w:rsid w:val="00BA6E79"/>
    <w:rsid w:val="00BB1CC8"/>
    <w:rsid w:val="00BB7C11"/>
    <w:rsid w:val="00BC5E4B"/>
    <w:rsid w:val="00BC6D2A"/>
    <w:rsid w:val="00BD07C5"/>
    <w:rsid w:val="00BD5C16"/>
    <w:rsid w:val="00BE1F75"/>
    <w:rsid w:val="00BE6782"/>
    <w:rsid w:val="00BE72F8"/>
    <w:rsid w:val="00BF440E"/>
    <w:rsid w:val="00BF63EA"/>
    <w:rsid w:val="00C01FDF"/>
    <w:rsid w:val="00C055EB"/>
    <w:rsid w:val="00C11145"/>
    <w:rsid w:val="00C120AA"/>
    <w:rsid w:val="00C15254"/>
    <w:rsid w:val="00C167A3"/>
    <w:rsid w:val="00C261B9"/>
    <w:rsid w:val="00C338AF"/>
    <w:rsid w:val="00C33AE8"/>
    <w:rsid w:val="00C5097D"/>
    <w:rsid w:val="00C512BD"/>
    <w:rsid w:val="00C57911"/>
    <w:rsid w:val="00C70267"/>
    <w:rsid w:val="00C73466"/>
    <w:rsid w:val="00C74422"/>
    <w:rsid w:val="00C76CF7"/>
    <w:rsid w:val="00C81FF2"/>
    <w:rsid w:val="00C9519C"/>
    <w:rsid w:val="00CA4AC9"/>
    <w:rsid w:val="00CA5311"/>
    <w:rsid w:val="00CB7E47"/>
    <w:rsid w:val="00CC2002"/>
    <w:rsid w:val="00CC216E"/>
    <w:rsid w:val="00CC2A8E"/>
    <w:rsid w:val="00CC55DF"/>
    <w:rsid w:val="00CC5AE8"/>
    <w:rsid w:val="00CD711F"/>
    <w:rsid w:val="00CE3486"/>
    <w:rsid w:val="00CF0658"/>
    <w:rsid w:val="00CF3CC5"/>
    <w:rsid w:val="00CF4C2E"/>
    <w:rsid w:val="00D00629"/>
    <w:rsid w:val="00D00CBE"/>
    <w:rsid w:val="00D056C5"/>
    <w:rsid w:val="00D066EF"/>
    <w:rsid w:val="00D10F8D"/>
    <w:rsid w:val="00D14FB4"/>
    <w:rsid w:val="00D21B3F"/>
    <w:rsid w:val="00D23A29"/>
    <w:rsid w:val="00D31EE7"/>
    <w:rsid w:val="00D35C90"/>
    <w:rsid w:val="00D406EA"/>
    <w:rsid w:val="00D41A03"/>
    <w:rsid w:val="00D54907"/>
    <w:rsid w:val="00D60E72"/>
    <w:rsid w:val="00D63737"/>
    <w:rsid w:val="00D6526E"/>
    <w:rsid w:val="00D672DD"/>
    <w:rsid w:val="00D67F74"/>
    <w:rsid w:val="00D76677"/>
    <w:rsid w:val="00D77190"/>
    <w:rsid w:val="00D77333"/>
    <w:rsid w:val="00D838E1"/>
    <w:rsid w:val="00DA0BE4"/>
    <w:rsid w:val="00DB61D1"/>
    <w:rsid w:val="00DC1D34"/>
    <w:rsid w:val="00DC527C"/>
    <w:rsid w:val="00DD43A6"/>
    <w:rsid w:val="00DE1690"/>
    <w:rsid w:val="00DE2F32"/>
    <w:rsid w:val="00DE3769"/>
    <w:rsid w:val="00DE44B0"/>
    <w:rsid w:val="00DE5655"/>
    <w:rsid w:val="00DF05A3"/>
    <w:rsid w:val="00DF7C06"/>
    <w:rsid w:val="00E26C3D"/>
    <w:rsid w:val="00E30790"/>
    <w:rsid w:val="00E37995"/>
    <w:rsid w:val="00E462A5"/>
    <w:rsid w:val="00E4784F"/>
    <w:rsid w:val="00E52B77"/>
    <w:rsid w:val="00E62E61"/>
    <w:rsid w:val="00E63ED4"/>
    <w:rsid w:val="00E64616"/>
    <w:rsid w:val="00E7007F"/>
    <w:rsid w:val="00E70933"/>
    <w:rsid w:val="00E83989"/>
    <w:rsid w:val="00E859D9"/>
    <w:rsid w:val="00E91E8A"/>
    <w:rsid w:val="00EA3AF7"/>
    <w:rsid w:val="00EA413B"/>
    <w:rsid w:val="00EA7B9D"/>
    <w:rsid w:val="00EB34E9"/>
    <w:rsid w:val="00EB67E0"/>
    <w:rsid w:val="00EC2B2B"/>
    <w:rsid w:val="00EC6DE0"/>
    <w:rsid w:val="00EC7A73"/>
    <w:rsid w:val="00ED1E5C"/>
    <w:rsid w:val="00ED49C7"/>
    <w:rsid w:val="00EE3475"/>
    <w:rsid w:val="00EF321C"/>
    <w:rsid w:val="00EF5F61"/>
    <w:rsid w:val="00F05E76"/>
    <w:rsid w:val="00F070D1"/>
    <w:rsid w:val="00F073DF"/>
    <w:rsid w:val="00F1748B"/>
    <w:rsid w:val="00F24C4A"/>
    <w:rsid w:val="00F319AE"/>
    <w:rsid w:val="00F35A81"/>
    <w:rsid w:val="00F35D21"/>
    <w:rsid w:val="00F37C75"/>
    <w:rsid w:val="00F43574"/>
    <w:rsid w:val="00F44762"/>
    <w:rsid w:val="00F46AF9"/>
    <w:rsid w:val="00F521CA"/>
    <w:rsid w:val="00F573D7"/>
    <w:rsid w:val="00F660CB"/>
    <w:rsid w:val="00F66854"/>
    <w:rsid w:val="00F670EF"/>
    <w:rsid w:val="00F7055B"/>
    <w:rsid w:val="00F837C2"/>
    <w:rsid w:val="00F83E80"/>
    <w:rsid w:val="00F83FA4"/>
    <w:rsid w:val="00F86C4B"/>
    <w:rsid w:val="00F87129"/>
    <w:rsid w:val="00F94C63"/>
    <w:rsid w:val="00F9581D"/>
    <w:rsid w:val="00F95900"/>
    <w:rsid w:val="00F969AC"/>
    <w:rsid w:val="00FA02BE"/>
    <w:rsid w:val="00FA049C"/>
    <w:rsid w:val="00FA06C0"/>
    <w:rsid w:val="00FA3FCC"/>
    <w:rsid w:val="00FA49D9"/>
    <w:rsid w:val="00FB3E1A"/>
    <w:rsid w:val="00FB6DFB"/>
    <w:rsid w:val="00FC2624"/>
    <w:rsid w:val="00FC46D8"/>
    <w:rsid w:val="00FD12AD"/>
    <w:rsid w:val="00FD4A48"/>
    <w:rsid w:val="00FE3AB4"/>
    <w:rsid w:val="00FF0EC7"/>
    <w:rsid w:val="00FF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A6FED8"/>
  <w15:docId w15:val="{3F28ABFF-E0A6-41D1-B23B-6A790371D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E6A02"/>
    <w:pPr>
      <w:spacing w:before="200" w:after="200" w:line="276" w:lineRule="auto"/>
    </w:pPr>
    <w:rPr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A0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lang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A02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caps/>
      <w:spacing w:val="15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E6A02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lang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E6A02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6A02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lang w:bidi="ar-SA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E6A02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lang w:bidi="ar-SA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E6A02"/>
    <w:pPr>
      <w:spacing w:before="300" w:after="0"/>
      <w:outlineLvl w:val="6"/>
    </w:pPr>
    <w:rPr>
      <w:caps/>
      <w:color w:val="365F91"/>
      <w:spacing w:val="10"/>
      <w:lang w:bidi="ar-S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E6A02"/>
    <w:pPr>
      <w:spacing w:before="300" w:after="0"/>
      <w:outlineLvl w:val="7"/>
    </w:pPr>
    <w:rPr>
      <w:caps/>
      <w:spacing w:val="10"/>
      <w:sz w:val="18"/>
      <w:szCs w:val="18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6A02"/>
    <w:pPr>
      <w:spacing w:before="300" w:after="0"/>
      <w:outlineLvl w:val="8"/>
    </w:pPr>
    <w:rPr>
      <w:i/>
      <w:caps/>
      <w:spacing w:val="10"/>
      <w:sz w:val="18"/>
      <w:szCs w:val="1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pPr>
      <w:jc w:val="both"/>
    </w:pPr>
    <w:rPr>
      <w:rFonts w:ascii="Tahoma" w:hAnsi="Tahoma"/>
      <w:i/>
      <w:lang w:val="sr-Cyrl-CS"/>
    </w:rPr>
  </w:style>
  <w:style w:type="paragraph" w:styleId="BodyText">
    <w:name w:val="Body Text"/>
    <w:basedOn w:val="Normal"/>
    <w:pPr>
      <w:jc w:val="both"/>
    </w:pPr>
    <w:rPr>
      <w:lang w:val="sr-Cyrl-CS"/>
    </w:rPr>
  </w:style>
  <w:style w:type="paragraph" w:styleId="BodyText2">
    <w:name w:val="Body Text 2"/>
    <w:basedOn w:val="Normal"/>
    <w:rPr>
      <w:b/>
      <w:lang w:val="sr-Cyrl-CS"/>
    </w:rPr>
  </w:style>
  <w:style w:type="paragraph" w:styleId="Footer">
    <w:name w:val="footer"/>
    <w:basedOn w:val="Normal"/>
    <w:rsid w:val="00A3188F"/>
    <w:pPr>
      <w:tabs>
        <w:tab w:val="center" w:pos="4320"/>
        <w:tab w:val="right" w:pos="8640"/>
      </w:tabs>
    </w:pPr>
    <w:rPr>
      <w:rFonts w:ascii="Arial Narrow" w:hAnsi="Arial Narrow" w:cs="Courier New"/>
    </w:rPr>
  </w:style>
  <w:style w:type="paragraph" w:styleId="FootnoteText">
    <w:name w:val="footnote text"/>
    <w:basedOn w:val="Normal"/>
    <w:link w:val="FootnoteTextChar"/>
    <w:semiHidden/>
    <w:rsid w:val="00A3188F"/>
    <w:rPr>
      <w:rFonts w:ascii="HTimes" w:hAnsi="HTimes"/>
    </w:rPr>
  </w:style>
  <w:style w:type="table" w:styleId="TableGrid">
    <w:name w:val="Table Grid"/>
    <w:basedOn w:val="TableNormal"/>
    <w:rsid w:val="002F5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6E6A02"/>
    <w:rPr>
      <w:rFonts w:ascii="Tahoma" w:hAnsi="Tahoma"/>
      <w:sz w:val="16"/>
      <w:szCs w:val="16"/>
      <w:lang w:bidi="ar-SA"/>
    </w:rPr>
  </w:style>
  <w:style w:type="character" w:customStyle="1" w:styleId="DocumentMapChar">
    <w:name w:val="Document Map Char"/>
    <w:link w:val="DocumentMap"/>
    <w:rsid w:val="006E6A02"/>
    <w:rPr>
      <w:rFonts w:ascii="Tahoma" w:hAnsi="Tahoma" w:cs="Tahoma"/>
      <w:sz w:val="16"/>
      <w:szCs w:val="16"/>
      <w:lang w:val="en-US" w:eastAsia="en-US"/>
    </w:rPr>
  </w:style>
  <w:style w:type="character" w:styleId="BookTitle">
    <w:name w:val="Book Title"/>
    <w:uiPriority w:val="33"/>
    <w:qFormat/>
    <w:rsid w:val="006E6A02"/>
    <w:rPr>
      <w:b/>
      <w:bCs/>
      <w:i/>
      <w:iCs/>
      <w:spacing w:val="9"/>
    </w:rPr>
  </w:style>
  <w:style w:type="character" w:styleId="Hyperlink">
    <w:name w:val="Hyperlink"/>
    <w:uiPriority w:val="99"/>
    <w:unhideWhenUsed/>
    <w:rsid w:val="006E6A02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6E6A02"/>
    <w:pPr>
      <w:spacing w:before="720"/>
    </w:pPr>
    <w:rPr>
      <w:caps/>
      <w:color w:val="4F81BD"/>
      <w:spacing w:val="10"/>
      <w:kern w:val="28"/>
      <w:sz w:val="52"/>
      <w:szCs w:val="52"/>
      <w:lang w:bidi="ar-SA"/>
    </w:rPr>
  </w:style>
  <w:style w:type="character" w:customStyle="1" w:styleId="TitleChar">
    <w:name w:val="Title Char"/>
    <w:link w:val="Title"/>
    <w:uiPriority w:val="10"/>
    <w:rsid w:val="006E6A02"/>
    <w:rPr>
      <w:caps/>
      <w:color w:val="4F81BD"/>
      <w:spacing w:val="10"/>
      <w:kern w:val="28"/>
      <w:sz w:val="52"/>
      <w:szCs w:val="52"/>
    </w:rPr>
  </w:style>
  <w:style w:type="paragraph" w:styleId="NoSpacing">
    <w:name w:val="No Spacing"/>
    <w:basedOn w:val="Normal"/>
    <w:link w:val="NoSpacingChar"/>
    <w:uiPriority w:val="1"/>
    <w:qFormat/>
    <w:rsid w:val="006E6A02"/>
    <w:pPr>
      <w:spacing w:before="0" w:after="0" w:line="240" w:lineRule="auto"/>
    </w:pPr>
    <w:rPr>
      <w:lang w:bidi="ar-SA"/>
    </w:rPr>
  </w:style>
  <w:style w:type="character" w:customStyle="1" w:styleId="NoSpacingChar">
    <w:name w:val="No Spacing Char"/>
    <w:link w:val="NoSpacing"/>
    <w:uiPriority w:val="1"/>
    <w:rsid w:val="006E6A02"/>
    <w:rPr>
      <w:sz w:val="20"/>
      <w:szCs w:val="20"/>
    </w:rPr>
  </w:style>
  <w:style w:type="table" w:customStyle="1" w:styleId="LightList-Accent14">
    <w:name w:val="Light List - Accent 14"/>
    <w:basedOn w:val="TableNormal"/>
    <w:uiPriority w:val="61"/>
    <w:rsid w:val="006E6A02"/>
    <w:rPr>
      <w:rFonts w:ascii="Cambria" w:eastAsia="Calibri" w:hAnsi="Cambria"/>
      <w:sz w:val="24"/>
      <w:szCs w:val="24"/>
      <w:lang w:val="en-A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Heading1Char">
    <w:name w:val="Heading 1 Char"/>
    <w:link w:val="Heading1"/>
    <w:uiPriority w:val="9"/>
    <w:rsid w:val="006E6A02"/>
    <w:rPr>
      <w:b/>
      <w:bCs/>
      <w:caps/>
      <w:color w:val="FFFFFF"/>
      <w:spacing w:val="15"/>
      <w:shd w:val="clear" w:color="auto" w:fill="4F81BD"/>
    </w:rPr>
  </w:style>
  <w:style w:type="character" w:customStyle="1" w:styleId="Heading2Char">
    <w:name w:val="Heading 2 Char"/>
    <w:link w:val="Heading2"/>
    <w:uiPriority w:val="9"/>
    <w:rsid w:val="006E6A02"/>
    <w:rPr>
      <w:caps/>
      <w:spacing w:val="15"/>
      <w:shd w:val="clear" w:color="auto" w:fill="DBE5F1"/>
    </w:rPr>
  </w:style>
  <w:style w:type="character" w:customStyle="1" w:styleId="Heading3Char">
    <w:name w:val="Heading 3 Char"/>
    <w:link w:val="Heading3"/>
    <w:uiPriority w:val="9"/>
    <w:rsid w:val="006E6A02"/>
    <w:rPr>
      <w:caps/>
      <w:color w:val="243F60"/>
      <w:spacing w:val="15"/>
    </w:rPr>
  </w:style>
  <w:style w:type="character" w:customStyle="1" w:styleId="Heading4Char">
    <w:name w:val="Heading 4 Char"/>
    <w:link w:val="Heading4"/>
    <w:uiPriority w:val="9"/>
    <w:rsid w:val="006E6A02"/>
    <w:rPr>
      <w:caps/>
      <w:color w:val="365F91"/>
      <w:spacing w:val="10"/>
    </w:rPr>
  </w:style>
  <w:style w:type="character" w:customStyle="1" w:styleId="Heading5Char">
    <w:name w:val="Heading 5 Char"/>
    <w:link w:val="Heading5"/>
    <w:uiPriority w:val="9"/>
    <w:semiHidden/>
    <w:rsid w:val="006E6A02"/>
    <w:rPr>
      <w:caps/>
      <w:color w:val="365F91"/>
      <w:spacing w:val="10"/>
    </w:rPr>
  </w:style>
  <w:style w:type="character" w:customStyle="1" w:styleId="Heading6Char">
    <w:name w:val="Heading 6 Char"/>
    <w:link w:val="Heading6"/>
    <w:uiPriority w:val="9"/>
    <w:rsid w:val="006E6A02"/>
    <w:rPr>
      <w:caps/>
      <w:color w:val="365F91"/>
      <w:spacing w:val="10"/>
    </w:rPr>
  </w:style>
  <w:style w:type="character" w:customStyle="1" w:styleId="Heading7Char">
    <w:name w:val="Heading 7 Char"/>
    <w:link w:val="Heading7"/>
    <w:uiPriority w:val="9"/>
    <w:rsid w:val="006E6A02"/>
    <w:rPr>
      <w:caps/>
      <w:color w:val="365F91"/>
      <w:spacing w:val="10"/>
    </w:rPr>
  </w:style>
  <w:style w:type="character" w:customStyle="1" w:styleId="Heading8Char">
    <w:name w:val="Heading 8 Char"/>
    <w:link w:val="Heading8"/>
    <w:uiPriority w:val="9"/>
    <w:rsid w:val="006E6A02"/>
    <w:rPr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6E6A02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6E6A02"/>
    <w:rPr>
      <w:b/>
      <w:bCs/>
      <w:color w:val="365F91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6A02"/>
    <w:pPr>
      <w:spacing w:after="1000" w:line="240" w:lineRule="auto"/>
    </w:pPr>
    <w:rPr>
      <w:caps/>
      <w:color w:val="595959"/>
      <w:spacing w:val="10"/>
      <w:sz w:val="24"/>
      <w:szCs w:val="24"/>
      <w:lang w:bidi="ar-SA"/>
    </w:rPr>
  </w:style>
  <w:style w:type="character" w:customStyle="1" w:styleId="SubtitleChar">
    <w:name w:val="Subtitle Char"/>
    <w:link w:val="Subtitle"/>
    <w:uiPriority w:val="11"/>
    <w:rsid w:val="006E6A02"/>
    <w:rPr>
      <w:caps/>
      <w:color w:val="595959"/>
      <w:spacing w:val="10"/>
      <w:sz w:val="24"/>
      <w:szCs w:val="24"/>
    </w:rPr>
  </w:style>
  <w:style w:type="character" w:styleId="Strong">
    <w:name w:val="Strong"/>
    <w:uiPriority w:val="22"/>
    <w:qFormat/>
    <w:rsid w:val="006E6A02"/>
    <w:rPr>
      <w:b/>
      <w:bCs/>
    </w:rPr>
  </w:style>
  <w:style w:type="character" w:styleId="Emphasis">
    <w:name w:val="Emphasis"/>
    <w:uiPriority w:val="20"/>
    <w:qFormat/>
    <w:rsid w:val="006E6A02"/>
    <w:rPr>
      <w:caps/>
      <w:color w:val="243F60"/>
      <w:spacing w:val="5"/>
    </w:rPr>
  </w:style>
  <w:style w:type="paragraph" w:styleId="ListParagraph">
    <w:name w:val="List Paragraph"/>
    <w:basedOn w:val="Normal"/>
    <w:uiPriority w:val="34"/>
    <w:qFormat/>
    <w:rsid w:val="006E6A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E6A02"/>
    <w:rPr>
      <w:i/>
      <w:iCs/>
      <w:lang w:bidi="ar-SA"/>
    </w:rPr>
  </w:style>
  <w:style w:type="character" w:customStyle="1" w:styleId="QuoteChar">
    <w:name w:val="Quote Char"/>
    <w:link w:val="Quote"/>
    <w:uiPriority w:val="29"/>
    <w:rsid w:val="006E6A02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6A02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  <w:lang w:bidi="ar-SA"/>
    </w:rPr>
  </w:style>
  <w:style w:type="character" w:customStyle="1" w:styleId="IntenseQuoteChar">
    <w:name w:val="Intense Quote Char"/>
    <w:link w:val="IntenseQuote"/>
    <w:uiPriority w:val="30"/>
    <w:rsid w:val="006E6A02"/>
    <w:rPr>
      <w:i/>
      <w:iCs/>
      <w:color w:val="4F81BD"/>
      <w:sz w:val="20"/>
      <w:szCs w:val="20"/>
    </w:rPr>
  </w:style>
  <w:style w:type="character" w:styleId="SubtleEmphasis">
    <w:name w:val="Subtle Emphasis"/>
    <w:uiPriority w:val="19"/>
    <w:qFormat/>
    <w:rsid w:val="006E6A02"/>
    <w:rPr>
      <w:i/>
      <w:iCs/>
      <w:color w:val="243F60"/>
    </w:rPr>
  </w:style>
  <w:style w:type="character" w:styleId="IntenseEmphasis">
    <w:name w:val="Intense Emphasis"/>
    <w:uiPriority w:val="21"/>
    <w:qFormat/>
    <w:rsid w:val="006E6A02"/>
    <w:rPr>
      <w:b/>
      <w:bCs/>
      <w:caps/>
      <w:color w:val="243F60"/>
      <w:spacing w:val="10"/>
    </w:rPr>
  </w:style>
  <w:style w:type="character" w:styleId="SubtleReference">
    <w:name w:val="Subtle Reference"/>
    <w:uiPriority w:val="31"/>
    <w:qFormat/>
    <w:rsid w:val="006E6A02"/>
    <w:rPr>
      <w:b/>
      <w:bCs/>
      <w:color w:val="4F81BD"/>
    </w:rPr>
  </w:style>
  <w:style w:type="character" w:styleId="IntenseReference">
    <w:name w:val="Intense Reference"/>
    <w:uiPriority w:val="32"/>
    <w:qFormat/>
    <w:rsid w:val="006E6A02"/>
    <w:rPr>
      <w:b/>
      <w:bCs/>
      <w:i/>
      <w:iCs/>
      <w:caps/>
      <w:color w:val="4F81BD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6A02"/>
    <w:pPr>
      <w:outlineLvl w:val="9"/>
    </w:pPr>
  </w:style>
  <w:style w:type="character" w:styleId="FootnoteReference">
    <w:name w:val="footnote reference"/>
    <w:rsid w:val="00BB7C11"/>
    <w:rPr>
      <w:vertAlign w:val="superscript"/>
    </w:rPr>
  </w:style>
  <w:style w:type="character" w:styleId="CommentReference">
    <w:name w:val="annotation reference"/>
    <w:rsid w:val="00CF3CC5"/>
    <w:rPr>
      <w:sz w:val="16"/>
      <w:szCs w:val="16"/>
    </w:rPr>
  </w:style>
  <w:style w:type="paragraph" w:styleId="CommentText">
    <w:name w:val="annotation text"/>
    <w:basedOn w:val="Normal"/>
    <w:link w:val="CommentTextChar"/>
    <w:rsid w:val="00CF3CC5"/>
  </w:style>
  <w:style w:type="character" w:customStyle="1" w:styleId="CommentTextChar">
    <w:name w:val="Comment Text Char"/>
    <w:link w:val="CommentText"/>
    <w:rsid w:val="00CF3CC5"/>
    <w:rPr>
      <w:lang w:val="en-US" w:eastAsia="en-US" w:bidi="en-US"/>
    </w:rPr>
  </w:style>
  <w:style w:type="paragraph" w:styleId="CommentSubject">
    <w:name w:val="annotation subject"/>
    <w:basedOn w:val="CommentText"/>
    <w:next w:val="CommentText"/>
    <w:link w:val="CommentSubjectChar"/>
    <w:rsid w:val="00CF3CC5"/>
    <w:rPr>
      <w:b/>
      <w:bCs/>
    </w:rPr>
  </w:style>
  <w:style w:type="character" w:customStyle="1" w:styleId="CommentSubjectChar">
    <w:name w:val="Comment Subject Char"/>
    <w:link w:val="CommentSubject"/>
    <w:rsid w:val="00CF3CC5"/>
    <w:rPr>
      <w:b/>
      <w:bCs/>
      <w:lang w:val="en-US" w:eastAsia="en-US" w:bidi="en-US"/>
    </w:rPr>
  </w:style>
  <w:style w:type="paragraph" w:styleId="BalloonText">
    <w:name w:val="Balloon Text"/>
    <w:basedOn w:val="Normal"/>
    <w:link w:val="BalloonTextChar"/>
    <w:rsid w:val="00CF3CC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F3CC5"/>
    <w:rPr>
      <w:rFonts w:ascii="Tahoma" w:hAnsi="Tahoma" w:cs="Tahoma"/>
      <w:sz w:val="16"/>
      <w:szCs w:val="16"/>
      <w:lang w:val="en-US" w:eastAsia="en-US" w:bidi="en-US"/>
    </w:rPr>
  </w:style>
  <w:style w:type="paragraph" w:styleId="Revision">
    <w:name w:val="Revision"/>
    <w:hidden/>
    <w:uiPriority w:val="99"/>
    <w:semiHidden/>
    <w:rsid w:val="00BD07C5"/>
    <w:rPr>
      <w:lang w:bidi="en-US"/>
    </w:rPr>
  </w:style>
  <w:style w:type="table" w:styleId="LightGrid-Accent1">
    <w:name w:val="Light Grid Accent 1"/>
    <w:basedOn w:val="TableNormal"/>
    <w:uiPriority w:val="62"/>
    <w:rsid w:val="006F241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FootnoteTextChar">
    <w:name w:val="Footnote Text Char"/>
    <w:basedOn w:val="DefaultParagraphFont"/>
    <w:link w:val="FootnoteText"/>
    <w:semiHidden/>
    <w:rsid w:val="00F9581D"/>
    <w:rPr>
      <w:rFonts w:ascii="HTimes" w:hAnsi="HTimes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hyperlink" Target="http://www.secrs.gov.ba/Izvjestaji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G:\My%20Drive\KHOV\Periodi&#269;no\KHOV%20-%20Izvjestaj%20o%20radu\IR%202024\10%20Radna%20sveska%202024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G:\My%20Drive\KHOV\Periodi&#269;no\KHOV%20-%20Izvjestaj%20o%20radu\IR%202024\10%20Radna%20sveska%202024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9.335658775552079E-2"/>
          <c:y val="4.6938340089609558E-2"/>
          <c:w val="0.88616877287733176"/>
          <c:h val="0.6237312452435872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'FI 25'!$B$1</c:f>
              <c:strCache>
                <c:ptCount val="1"/>
                <c:pt idx="0">
                  <c:v>Ostvarenje 2024.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'FI 25'!$A$2:$A$11</c:f>
              <c:strCache>
                <c:ptCount val="10"/>
                <c:pt idx="0">
                  <c:v>Prihodi od ispita</c:v>
                </c:pt>
                <c:pt idx="1">
                  <c:v>Prihodi od naknada za emisiju</c:v>
                </c:pt>
                <c:pt idx="2">
                  <c:v>Prihodi od nadzora</c:v>
                </c:pt>
                <c:pt idx="3">
                  <c:v>Prihodi od naknada za osnivanje i rad ovlaštenih učesnika</c:v>
                </c:pt>
                <c:pt idx="4">
                  <c:v>Prihodi od naknada za osnivanje i rad DUIF i IF</c:v>
                </c:pt>
                <c:pt idx="5">
                  <c:v>Prihodi od naknada za preuzimanje</c:v>
                </c:pt>
                <c:pt idx="6">
                  <c:v>Prihodi od naknada za RE</c:v>
                </c:pt>
                <c:pt idx="7">
                  <c:v>Prihodi od kamata</c:v>
                </c:pt>
                <c:pt idx="8">
                  <c:v>Prihodi od promjene pravne forme</c:v>
                </c:pt>
                <c:pt idx="9">
                  <c:v>Ostali prihodi u skladu sa Tarifom naknada (upiti..)</c:v>
                </c:pt>
              </c:strCache>
            </c:strRef>
          </c:cat>
          <c:val>
            <c:numRef>
              <c:f>'FI 25'!$B$2:$B$11</c:f>
              <c:numCache>
                <c:formatCode>#,##0</c:formatCode>
                <c:ptCount val="10"/>
                <c:pt idx="0" formatCode="General">
                  <c:v>0</c:v>
                </c:pt>
                <c:pt idx="1">
                  <c:v>964708</c:v>
                </c:pt>
                <c:pt idx="2">
                  <c:v>570193</c:v>
                </c:pt>
                <c:pt idx="3">
                  <c:v>55300</c:v>
                </c:pt>
                <c:pt idx="4">
                  <c:v>51000</c:v>
                </c:pt>
                <c:pt idx="5">
                  <c:v>106506</c:v>
                </c:pt>
                <c:pt idx="6">
                  <c:v>8400</c:v>
                </c:pt>
                <c:pt idx="7">
                  <c:v>16610</c:v>
                </c:pt>
                <c:pt idx="8">
                  <c:v>15000</c:v>
                </c:pt>
                <c:pt idx="9">
                  <c:v>3470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23D-4247-91E8-FB367B07F370}"/>
            </c:ext>
          </c:extLst>
        </c:ser>
        <c:ser>
          <c:idx val="1"/>
          <c:order val="1"/>
          <c:tx>
            <c:strRef>
              <c:f>'FI 25'!$C$1</c:f>
              <c:strCache>
                <c:ptCount val="1"/>
                <c:pt idx="0">
                  <c:v>Ostvarenje 2023. 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'FI 25'!$A$2:$A$11</c:f>
              <c:strCache>
                <c:ptCount val="10"/>
                <c:pt idx="0">
                  <c:v>Prihodi od ispita</c:v>
                </c:pt>
                <c:pt idx="1">
                  <c:v>Prihodi od naknada za emisiju</c:v>
                </c:pt>
                <c:pt idx="2">
                  <c:v>Prihodi od nadzora</c:v>
                </c:pt>
                <c:pt idx="3">
                  <c:v>Prihodi od naknada za osnivanje i rad ovlaštenih učesnika</c:v>
                </c:pt>
                <c:pt idx="4">
                  <c:v>Prihodi od naknada za osnivanje i rad DUIF i IF</c:v>
                </c:pt>
                <c:pt idx="5">
                  <c:v>Prihodi od naknada za preuzimanje</c:v>
                </c:pt>
                <c:pt idx="6">
                  <c:v>Prihodi od naknada za RE</c:v>
                </c:pt>
                <c:pt idx="7">
                  <c:v>Prihodi od kamata</c:v>
                </c:pt>
                <c:pt idx="8">
                  <c:v>Prihodi od promjene pravne forme</c:v>
                </c:pt>
                <c:pt idx="9">
                  <c:v>Ostali prihodi u skladu sa Tarifom naknada (upiti..)</c:v>
                </c:pt>
              </c:strCache>
            </c:strRef>
          </c:cat>
          <c:val>
            <c:numRef>
              <c:f>'FI 25'!$C$2:$C$11</c:f>
              <c:numCache>
                <c:formatCode>#,##0</c:formatCode>
                <c:ptCount val="10"/>
                <c:pt idx="0">
                  <c:v>1300</c:v>
                </c:pt>
                <c:pt idx="1">
                  <c:v>85262</c:v>
                </c:pt>
                <c:pt idx="2">
                  <c:v>605846</c:v>
                </c:pt>
                <c:pt idx="3">
                  <c:v>33000</c:v>
                </c:pt>
                <c:pt idx="4">
                  <c:v>30900</c:v>
                </c:pt>
                <c:pt idx="5">
                  <c:v>218391</c:v>
                </c:pt>
                <c:pt idx="6">
                  <c:v>12500</c:v>
                </c:pt>
                <c:pt idx="7">
                  <c:v>5374</c:v>
                </c:pt>
                <c:pt idx="8">
                  <c:v>21000</c:v>
                </c:pt>
                <c:pt idx="9">
                  <c:v>2780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23D-4247-91E8-FB367B07F37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515450520"/>
        <c:axId val="515451832"/>
        <c:axId val="0"/>
      </c:bar3DChart>
      <c:catAx>
        <c:axId val="5154505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515451832"/>
        <c:crosses val="autoZero"/>
        <c:auto val="1"/>
        <c:lblAlgn val="ctr"/>
        <c:lblOffset val="100"/>
        <c:noMultiLvlLbl val="0"/>
      </c:catAx>
      <c:valAx>
        <c:axId val="5154518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5154505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3057138019037952"/>
          <c:y val="0.94679626314316334"/>
          <c:w val="0.34815094367275751"/>
          <c:h val="4.662570497399475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sr-Latn-R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>
          <a:latin typeface="Times New Roman" panose="02020603050405020304" pitchFamily="18" charset="0"/>
          <a:cs typeface="Times New Roman" panose="02020603050405020304" pitchFamily="18" charset="0"/>
        </a:defRPr>
      </a:pPr>
      <a:endParaRPr lang="sr-Latn-R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9.4714053010392873E-2"/>
          <c:y val="4.7898976703679513E-2"/>
          <c:w val="0.90528594698960718"/>
          <c:h val="0.631125077360104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'FI 25'!$B$75</c:f>
              <c:strCache>
                <c:ptCount val="1"/>
                <c:pt idx="0">
                  <c:v>Ostvarenje 2024.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'FI 25'!$A$76:$A$82</c:f>
              <c:strCache>
                <c:ptCount val="7"/>
                <c:pt idx="0">
                  <c:v>Troškovi materijala, goriva i energije</c:v>
                </c:pt>
                <c:pt idx="1">
                  <c:v>Troškovi bruto zarada i bruto naknada, ostali lični rashodi</c:v>
                </c:pt>
                <c:pt idx="2">
                  <c:v>Troškovi proizvodnih usluga</c:v>
                </c:pt>
                <c:pt idx="3">
                  <c:v>Troškovi amortizacije i otpisa inventara</c:v>
                </c:pt>
                <c:pt idx="4">
                  <c:v>Nematerijalni troškovi</c:v>
                </c:pt>
                <c:pt idx="5">
                  <c:v>Troškovi poreza i doprinosa</c:v>
                </c:pt>
                <c:pt idx="6">
                  <c:v>Članarina IOSCO</c:v>
                </c:pt>
              </c:strCache>
            </c:strRef>
          </c:cat>
          <c:val>
            <c:numRef>
              <c:f>'FI 25'!$B$76:$B$82</c:f>
              <c:numCache>
                <c:formatCode>#,##0</c:formatCode>
                <c:ptCount val="7"/>
                <c:pt idx="0">
                  <c:v>11185</c:v>
                </c:pt>
                <c:pt idx="1">
                  <c:v>908262</c:v>
                </c:pt>
                <c:pt idx="2">
                  <c:v>139948</c:v>
                </c:pt>
                <c:pt idx="3">
                  <c:v>24671</c:v>
                </c:pt>
                <c:pt idx="4">
                  <c:v>26331</c:v>
                </c:pt>
                <c:pt idx="5">
                  <c:v>2511</c:v>
                </c:pt>
                <c:pt idx="6">
                  <c:v>39801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0E8-402E-8F0D-D3CEDF527D64}"/>
            </c:ext>
          </c:extLst>
        </c:ser>
        <c:ser>
          <c:idx val="1"/>
          <c:order val="1"/>
          <c:tx>
            <c:strRef>
              <c:f>'FI 25'!$C$75</c:f>
              <c:strCache>
                <c:ptCount val="1"/>
                <c:pt idx="0">
                  <c:v>Ostvarenje 2023.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'FI 25'!$A$76:$A$82</c:f>
              <c:strCache>
                <c:ptCount val="7"/>
                <c:pt idx="0">
                  <c:v>Troškovi materijala, goriva i energije</c:v>
                </c:pt>
                <c:pt idx="1">
                  <c:v>Troškovi bruto zarada i bruto naknada, ostali lični rashodi</c:v>
                </c:pt>
                <c:pt idx="2">
                  <c:v>Troškovi proizvodnih usluga</c:v>
                </c:pt>
                <c:pt idx="3">
                  <c:v>Troškovi amortizacije i otpisa inventara</c:v>
                </c:pt>
                <c:pt idx="4">
                  <c:v>Nematerijalni troškovi</c:v>
                </c:pt>
                <c:pt idx="5">
                  <c:v>Troškovi poreza i doprinosa</c:v>
                </c:pt>
                <c:pt idx="6">
                  <c:v>Članarina IOSCO</c:v>
                </c:pt>
              </c:strCache>
            </c:strRef>
          </c:cat>
          <c:val>
            <c:numRef>
              <c:f>'FI 25'!$C$76:$C$82</c:f>
              <c:numCache>
                <c:formatCode>#,##0</c:formatCode>
                <c:ptCount val="7"/>
                <c:pt idx="0">
                  <c:v>10947</c:v>
                </c:pt>
                <c:pt idx="1">
                  <c:v>890366</c:v>
                </c:pt>
                <c:pt idx="2">
                  <c:v>48390</c:v>
                </c:pt>
                <c:pt idx="3">
                  <c:v>25843</c:v>
                </c:pt>
                <c:pt idx="4">
                  <c:v>118325</c:v>
                </c:pt>
                <c:pt idx="5">
                  <c:v>2929</c:v>
                </c:pt>
                <c:pt idx="6">
                  <c:v>37583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0E8-402E-8F0D-D3CEDF527D6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34214384"/>
        <c:axId val="634214712"/>
        <c:axId val="0"/>
      </c:bar3DChart>
      <c:catAx>
        <c:axId val="6342143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634214712"/>
        <c:crosses val="autoZero"/>
        <c:auto val="1"/>
        <c:lblAlgn val="ctr"/>
        <c:lblOffset val="100"/>
        <c:noMultiLvlLbl val="0"/>
      </c:catAx>
      <c:valAx>
        <c:axId val="6342147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6342143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sr-Latn-R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>
          <a:latin typeface="Times New Roman" panose="02020603050405020304" pitchFamily="18" charset="0"/>
          <a:cs typeface="Times New Roman" panose="02020603050405020304" pitchFamily="18" charset="0"/>
        </a:defRPr>
      </a:pPr>
      <a:endParaRPr lang="sr-Latn-R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574AD-5610-48C1-84F6-A29C194E0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1322</TotalTime>
  <Pages>5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ЗАБИЉЕШКЕ УЗ ФИНАНСИЈСКЕ ИЗВЈЕШТАЈЕ  ЗА 2003</vt:lpstr>
    </vt:vector>
  </TitlesOfParts>
  <Company>khov</Company>
  <LinksUpToDate>false</LinksUpToDate>
  <CharactersWithSpaces>4783</CharactersWithSpaces>
  <SharedDoc>false</SharedDoc>
  <HLinks>
    <vt:vector size="6" baseType="variant">
      <vt:variant>
        <vt:i4>8323117</vt:i4>
      </vt:variant>
      <vt:variant>
        <vt:i4>0</vt:i4>
      </vt:variant>
      <vt:variant>
        <vt:i4>0</vt:i4>
      </vt:variant>
      <vt:variant>
        <vt:i4>5</vt:i4>
      </vt:variant>
      <vt:variant>
        <vt:lpwstr>http://www.secrs.gov.ba/Izvjestaji/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ЗАБИЉЕШКЕ УЗ ФИНАНСИЈСКЕ ИЗВЈЕШТАЈЕ  ЗА 2003</dc:title>
  <dc:creator>s.savanovic</dc:creator>
  <cp:lastModifiedBy>Dino Đumić</cp:lastModifiedBy>
  <cp:revision>8</cp:revision>
  <cp:lastPrinted>2024-02-23T07:51:00Z</cp:lastPrinted>
  <dcterms:created xsi:type="dcterms:W3CDTF">2025-05-28T13:25:00Z</dcterms:created>
  <dcterms:modified xsi:type="dcterms:W3CDTF">2025-05-30T10:05:00Z</dcterms:modified>
</cp:coreProperties>
</file>